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FE" w:rsidRDefault="002E5CFE" w:rsidP="002E5CFE">
      <w:pPr>
        <w:spacing w:before="120" w:after="120" w:line="240" w:lineRule="auto"/>
        <w:ind w:right="-1"/>
        <w:jc w:val="center"/>
        <w:rPr>
          <w:rFonts w:ascii="Arial" w:eastAsia="Times New Roman" w:hAnsi="Arial" w:cs="Arial"/>
          <w:b/>
          <w:position w:val="-1"/>
        </w:rPr>
      </w:pPr>
    </w:p>
    <w:p w:rsidR="002E5CFE" w:rsidRPr="002E5CFE" w:rsidRDefault="007E5308" w:rsidP="002E5CFE">
      <w:pPr>
        <w:spacing w:before="120" w:after="120" w:line="240" w:lineRule="auto"/>
        <w:ind w:right="-1"/>
        <w:jc w:val="center"/>
        <w:rPr>
          <w:rFonts w:ascii="Arial" w:eastAsia="Times New Roman" w:hAnsi="Arial" w:cs="Arial"/>
          <w:b/>
          <w:position w:val="-1"/>
        </w:rPr>
      </w:pPr>
      <w:r>
        <w:rPr>
          <w:rFonts w:ascii="Arial" w:eastAsia="Times New Roman" w:hAnsi="Arial" w:cs="Arial"/>
          <w:b/>
          <w:position w:val="-1"/>
        </w:rPr>
        <w:t xml:space="preserve">ПРОЕКТ НА </w:t>
      </w:r>
      <w:bookmarkStart w:id="0" w:name="_GoBack"/>
      <w:bookmarkEnd w:id="0"/>
      <w:r w:rsidR="002E5CFE" w:rsidRPr="002E5CFE">
        <w:rPr>
          <w:rFonts w:ascii="Arial" w:eastAsia="Times New Roman" w:hAnsi="Arial" w:cs="Arial"/>
          <w:b/>
          <w:position w:val="-1"/>
        </w:rPr>
        <w:t>И Н Д И К А Т И В Н А</w:t>
      </w:r>
      <w:r w:rsidR="002E5CFE" w:rsidRPr="002E5CFE">
        <w:rPr>
          <w:rFonts w:ascii="Arial" w:eastAsia="Times New Roman" w:hAnsi="Arial" w:cs="Arial"/>
          <w:b/>
          <w:position w:val="-1"/>
          <w:lang w:val="en-US"/>
        </w:rPr>
        <w:t xml:space="preserve"> </w:t>
      </w:r>
      <w:r w:rsidR="002E5CFE" w:rsidRPr="002E5CFE">
        <w:rPr>
          <w:rFonts w:ascii="Arial" w:eastAsia="Times New Roman" w:hAnsi="Arial" w:cs="Arial"/>
          <w:b/>
          <w:position w:val="-1"/>
        </w:rPr>
        <w:t xml:space="preserve"> Г О Д И Ш Н А </w:t>
      </w:r>
      <w:r w:rsidR="002E5CFE" w:rsidRPr="002E5CFE">
        <w:rPr>
          <w:rFonts w:ascii="Arial" w:eastAsia="Times New Roman" w:hAnsi="Arial" w:cs="Arial"/>
          <w:b/>
          <w:position w:val="-1"/>
          <w:lang w:val="en-US"/>
        </w:rPr>
        <w:t xml:space="preserve"> </w:t>
      </w:r>
      <w:r w:rsidR="002E5CFE" w:rsidRPr="002E5CFE">
        <w:rPr>
          <w:rFonts w:ascii="Arial" w:eastAsia="Times New Roman" w:hAnsi="Arial" w:cs="Arial"/>
          <w:b/>
          <w:position w:val="-1"/>
        </w:rPr>
        <w:t xml:space="preserve">Р А Б О Т Н А </w:t>
      </w:r>
      <w:r w:rsidR="002E5CFE" w:rsidRPr="002E5CFE">
        <w:rPr>
          <w:rFonts w:ascii="Arial" w:eastAsia="Times New Roman" w:hAnsi="Arial" w:cs="Arial"/>
          <w:b/>
          <w:position w:val="-1"/>
          <w:lang w:val="en-US"/>
        </w:rPr>
        <w:t xml:space="preserve"> </w:t>
      </w:r>
      <w:r w:rsidR="002E5CFE" w:rsidRPr="002E5CFE">
        <w:rPr>
          <w:rFonts w:ascii="Arial" w:eastAsia="Times New Roman" w:hAnsi="Arial" w:cs="Arial"/>
          <w:b/>
          <w:position w:val="-1"/>
        </w:rPr>
        <w:t>П Р О Г Р А М А</w:t>
      </w:r>
      <w:r w:rsidR="002E5CFE" w:rsidRPr="002E5CFE">
        <w:rPr>
          <w:rFonts w:ascii="Arial" w:eastAsia="Times New Roman" w:hAnsi="Arial" w:cs="Arial"/>
          <w:b/>
          <w:position w:val="-1"/>
          <w:vertAlign w:val="superscript"/>
        </w:rPr>
        <w:t>1</w:t>
      </w:r>
    </w:p>
    <w:p w:rsidR="007E5308" w:rsidRPr="002E5CFE" w:rsidRDefault="002E5CFE" w:rsidP="007E5308">
      <w:pPr>
        <w:spacing w:before="120" w:after="120" w:line="240" w:lineRule="auto"/>
        <w:ind w:right="-1"/>
        <w:jc w:val="center"/>
        <w:rPr>
          <w:rFonts w:ascii="Arial" w:eastAsia="Times New Roman" w:hAnsi="Arial" w:cs="Arial"/>
          <w:b/>
          <w:position w:val="-1"/>
        </w:rPr>
      </w:pPr>
      <w:r w:rsidRPr="002E5CFE">
        <w:rPr>
          <w:rFonts w:ascii="Arial" w:eastAsia="Times New Roman" w:hAnsi="Arial" w:cs="Arial"/>
          <w:b/>
          <w:position w:val="-1"/>
        </w:rPr>
        <w:t>МЕСТНА ИНИЦИАТИВНА РИБАРСКА ГРУПА (МИРГ) ШАБЛА – КАВАРНА – БАЛЧИК  2026 ГОДИНА</w:t>
      </w:r>
      <w:r w:rsidR="007E5308">
        <w:rPr>
          <w:rFonts w:ascii="Arial" w:eastAsia="Times New Roman" w:hAnsi="Arial" w:cs="Arial"/>
          <w:b/>
          <w:position w:val="-1"/>
        </w:rPr>
        <w:t xml:space="preserve">  </w:t>
      </w:r>
    </w:p>
    <w:tbl>
      <w:tblPr>
        <w:tblW w:w="16067" w:type="dxa"/>
        <w:jc w:val="center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"/>
        <w:gridCol w:w="1463"/>
        <w:gridCol w:w="1581"/>
        <w:gridCol w:w="831"/>
        <w:gridCol w:w="12"/>
        <w:gridCol w:w="50"/>
        <w:gridCol w:w="10"/>
        <w:gridCol w:w="1094"/>
        <w:gridCol w:w="1769"/>
        <w:gridCol w:w="6"/>
        <w:gridCol w:w="2790"/>
        <w:gridCol w:w="1168"/>
        <w:gridCol w:w="814"/>
        <w:gridCol w:w="1006"/>
        <w:gridCol w:w="9"/>
        <w:gridCol w:w="703"/>
        <w:gridCol w:w="9"/>
        <w:gridCol w:w="232"/>
        <w:gridCol w:w="560"/>
        <w:gridCol w:w="7"/>
        <w:gridCol w:w="814"/>
        <w:gridCol w:w="776"/>
        <w:gridCol w:w="101"/>
      </w:tblGrid>
      <w:tr w:rsidR="002E5CFE" w:rsidRPr="002E5CFE" w:rsidTr="00604B48">
        <w:trPr>
          <w:trHeight w:val="863"/>
          <w:jc w:val="center"/>
        </w:trPr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№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о ред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 xml:space="preserve"> 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Це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я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та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Б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Ф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  <w:vertAlign w:val="superscript"/>
              </w:rPr>
              <w:t>2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о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</w:t>
            </w:r>
          </w:p>
        </w:tc>
        <w:tc>
          <w:tcPr>
            <w:tcW w:w="9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б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щ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з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ер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Б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Ф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39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о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3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(в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евро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и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ти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Пр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ст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 де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йн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г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 д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ст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 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з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х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и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им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н %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proofErr w:type="spellStart"/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съ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ф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proofErr w:type="spellEnd"/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об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явя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е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 т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ен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к за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е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и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ло</w:t>
            </w:r>
            <w:r w:rsidRPr="002E5CFE">
              <w:rPr>
                <w:rFonts w:ascii="Arial" w:eastAsia="Times New Roman" w:hAnsi="Arial" w:cs="Arial"/>
                <w:b/>
                <w:spacing w:val="-4"/>
                <w:sz w:val="14"/>
                <w:szCs w:val="14"/>
              </w:rPr>
              <w:t>ж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я</w:t>
            </w:r>
          </w:p>
        </w:tc>
        <w:tc>
          <w:tcPr>
            <w:tcW w:w="151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Предс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ява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и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а/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ч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ст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я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  <w:vertAlign w:val="superscript"/>
              </w:rPr>
              <w:t>4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з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ер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-3"/>
                <w:sz w:val="14"/>
                <w:szCs w:val="14"/>
              </w:rPr>
              <w:t>Б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Ф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з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т</w:t>
            </w:r>
          </w:p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(в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евро</w:t>
            </w:r>
            <w:r w:rsidRPr="002E5CFE">
              <w:rPr>
                <w:rFonts w:ascii="Arial" w:eastAsia="Times New Roman" w:hAnsi="Arial" w:cs="Arial"/>
                <w:b/>
                <w:spacing w:val="-4"/>
                <w:sz w:val="14"/>
                <w:szCs w:val="14"/>
              </w:rPr>
              <w:t>)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  <w:vertAlign w:val="superscript"/>
              </w:rPr>
              <w:t>5</w:t>
            </w:r>
          </w:p>
        </w:tc>
      </w:tr>
      <w:tr w:rsidR="002E5CFE" w:rsidRPr="002E5CFE" w:rsidTr="00604B48">
        <w:trPr>
          <w:trHeight w:val="656"/>
          <w:jc w:val="center"/>
        </w:trPr>
        <w:tc>
          <w:tcPr>
            <w:tcW w:w="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дър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ж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вна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ощ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им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ал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а 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ощ</w:t>
            </w:r>
            <w:r w:rsidRPr="002E5CFE">
              <w:rPr>
                <w:rFonts w:ascii="Arial" w:eastAsia="Times New Roman" w:hAnsi="Arial" w:cs="Arial"/>
                <w:b/>
                <w:position w:val="7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н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им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ен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м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к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4"/>
                <w:szCs w:val="14"/>
              </w:rPr>
              <w:t>ма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4"/>
                <w:szCs w:val="14"/>
              </w:rPr>
              <w:t>л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z w:val="14"/>
                <w:szCs w:val="14"/>
              </w:rPr>
              <w:t>н</w:t>
            </w:r>
          </w:p>
        </w:tc>
      </w:tr>
      <w:tr w:rsidR="002E5CFE" w:rsidRPr="002E5CFE" w:rsidTr="00604B48">
        <w:trPr>
          <w:trHeight w:hRule="exact" w:val="508"/>
          <w:jc w:val="center"/>
        </w:trPr>
        <w:tc>
          <w:tcPr>
            <w:tcW w:w="16067" w:type="dxa"/>
            <w:gridSpan w:val="2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335"/>
              <w:rPr>
                <w:rFonts w:ascii="Arial" w:eastAsia="Times New Roman" w:hAnsi="Arial" w:cs="Arial"/>
                <w:sz w:val="18"/>
                <w:szCs w:val="18"/>
              </w:rPr>
            </w:pPr>
            <w:r w:rsidRPr="002E5CFE">
              <w:rPr>
                <w:rFonts w:ascii="Arial" w:eastAsia="Times New Roman" w:hAnsi="Arial" w:cs="Arial"/>
                <w:b/>
                <w:spacing w:val="-1"/>
                <w:sz w:val="18"/>
                <w:szCs w:val="18"/>
              </w:rPr>
              <w:t>П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8"/>
                <w:szCs w:val="18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8"/>
                <w:szCs w:val="18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1"/>
                <w:sz w:val="18"/>
                <w:szCs w:val="18"/>
              </w:rPr>
              <w:t>о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8"/>
                <w:szCs w:val="18"/>
              </w:rPr>
              <w:t>р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8"/>
                <w:szCs w:val="18"/>
              </w:rPr>
              <w:t>и</w:t>
            </w:r>
            <w:r w:rsidRPr="002E5CFE">
              <w:rPr>
                <w:rFonts w:ascii="Arial" w:eastAsia="Times New Roman" w:hAnsi="Arial" w:cs="Arial"/>
                <w:b/>
                <w:spacing w:val="-2"/>
                <w:sz w:val="18"/>
                <w:szCs w:val="18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8"/>
                <w:szCs w:val="18"/>
              </w:rPr>
              <w:t>е</w:t>
            </w:r>
            <w:r w:rsidRPr="002E5CFE">
              <w:rPr>
                <w:rFonts w:ascii="Arial" w:eastAsia="Times New Roman" w:hAnsi="Arial" w:cs="Arial"/>
                <w:b/>
                <w:sz w:val="18"/>
                <w:szCs w:val="18"/>
              </w:rPr>
              <w:t>т</w:t>
            </w:r>
            <w:r w:rsidRPr="002E5CFE">
              <w:rPr>
                <w:rFonts w:ascii="Arial" w:eastAsia="Times New Roman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z w:val="18"/>
                <w:szCs w:val="18"/>
              </w:rPr>
              <w:t>1.</w:t>
            </w:r>
            <w:r w:rsidRPr="002E5CFE">
              <w:rPr>
                <w:rFonts w:ascii="Arial" w:eastAsia="Times New Roman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2E5CFE">
              <w:rPr>
                <w:rFonts w:ascii="Arial" w:eastAsia="Times New Roman" w:hAnsi="Arial" w:cs="Arial"/>
                <w:b/>
                <w:spacing w:val="2"/>
                <w:sz w:val="18"/>
                <w:szCs w:val="18"/>
              </w:rPr>
              <w:t>„Стимулиране развитието на рибностопански дейности, които допринасят за екологична, социална и икономическа устойчивост на рибарските общности ”</w:t>
            </w:r>
          </w:p>
        </w:tc>
      </w:tr>
      <w:tr w:rsidR="002E5CFE" w:rsidRPr="002E5CFE" w:rsidTr="00604B48">
        <w:trPr>
          <w:trHeight w:val="11069"/>
          <w:jc w:val="center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3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1.</w:t>
            </w:r>
            <w:proofErr w:type="spellStart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1</w:t>
            </w:r>
            <w:proofErr w:type="spellEnd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. „</w:t>
            </w:r>
            <w:proofErr w:type="spellStart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Улов</w:t>
            </w:r>
            <w:proofErr w:type="spellEnd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, отглеждане, преработка и продажба на продукти от риболов и </w:t>
            </w:r>
            <w:proofErr w:type="spellStart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аквакултури</w:t>
            </w:r>
            <w:proofErr w:type="spellEnd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 и дейности за устойчива синя икономика ”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Основни потребности/нужди, към която е адресирана дейността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Необходимост от устойчивост на рибарските общности, устойчиво развитие на крайбрежния риболов,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мaрикултури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 и синя икономика, и диверсификация на икономиката в рибарската територия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Очакван принос към целите на стратегията и подхода ВОМР съгласно ПМДРА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Дейност №1 е планирана да осигури принос за изпълнение на: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Стратегическа цел №1: Подобряване на условията за диверсификация на синята икономика и развитие на устойчива синя икономика в рибарска територия „Крайморска Добруджа“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ПРИОРИТЕТ № 1: Стимулиране развитието на рибностопански дейности, които допринасят за екологична, социална и икономическа устойчивост на рибарските общности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Специфична цел 1.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. Подпомагане на устойчиви дейности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улова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риба и други водни организми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Специфична цел 1.2. Подпомагане на устойчиви дейности в отглеждането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марикултури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Специфична цел 1.3. Подпомагане на устойчиви дейности в преработката и продажбата на продукти от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ПРИОРИТЕТ №2: Подпомагане на диверсификацията на синята икономика 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558 262,60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6" w:right="4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Физически или юридически лица, регистрирани по Търговския закон или Закона за кооперациите</w:t>
            </w:r>
          </w:p>
          <w:p w:rsidR="002E5CFE" w:rsidRPr="002E5CFE" w:rsidRDefault="002E5CFE" w:rsidP="002E5CFE">
            <w:pPr>
              <w:spacing w:before="60" w:after="60" w:line="240" w:lineRule="auto"/>
              <w:ind w:left="46" w:right="45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Въвеждане на иновативни подходи, осигуряващи намаляване въздействието върху околната среда на риболова като използване на селективни уреди и способи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улов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намаляващи нежелания при/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улов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използването на цифрови инструменти за подобряване събирането на данни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улова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Диверсифицирането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дребномащабният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риболов в рибарските територии чрез развиване на допълващи дейности към него като риболовен туризъм, ресторантьорство, търговски дейности, образователни дейности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Осигуряване на достъп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дребномащабният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риболов до знания, сътрудничество и финансиране, необходими за предприемането на новаторски дейности и разработването на нови продукти - например съвместно с изследователски организации и институции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Професионално обучение в риболовния сектор с цел неговото модернизиране, подобряване на ефективността и развитие на отговорен риболов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Обучение за придобиване на цифрови умения, насочени към е-управлението, и по-специално към търговията, като инструмент за подобряване на позицията на производителите във веригата за създаване на стойност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Подкрепа за сдружаване, организиране и сътрудничество в сферата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дребномащабният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риболов с цел създаване на механизми за подобряване на цената при първа продажба и по справедливото и подходящо разпределение на добавената стойност по веригата на стойността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Насърчаване на социално-икономическото сътрудничество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риболов за разработване на регионални продукти, услуги и изследвания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Диверсификация на дейностите и доходите в или извън рибарството, подпомагащи създаването на работни места в рибарството и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(напр. туристически дейности, вкл.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pesca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туризъм, търговия, развитие на нови бизнеси извън сектора на рибарството, рециклиране, продукти или услуги, разработени извън рибарството,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възобновяема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енергия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декарбонизация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Въвеждане на иновации в отглеждането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марикултури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или преработката на ниво стопанство, предприятие или територия, които водят до: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-нови или подобрени продукти, процеси, технологии, услуги за подобряване на веригата на доставки на продукти от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създаване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смарт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приложения за директни продажби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-подобряване на енергийната ефективност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декарбонизация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производствените процеси и преработката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-намаляване въздействието върху околната среда на риболова и производствените процеси с въвеждащи елементи на кръгова икономика (напр. чрез събиране и рециклиране на изгубени риболовни уреди и морски отпадъци и повишаване на стойността на отпадъците от риболов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-въвеждане на кръгова икономика и къси вериги за доставка на продукти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-разработване и/или прилагане на нови технически решения и иновации по отношение на производствените съоръжения и оборудване (напр.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щормоустйчиви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или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потопяеми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садки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за риба в българската акватория на Черно море или РСА за морски видове на сушата и др.)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Развитие на устойчиви производства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с ниско влияние върху околната среда като въвеждане на производства, намаляващи емисиите в околната среда, вкл. и на СО2, опазване на качеството на водата, отглеждане на биологични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нискотрофични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Повишаване на енергийната ефективност на предприятията, , подпомагане опазването на околната среда и допринасяща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декарбонизацията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тяхната дейност като изграждане на ВЕИ пряко свързани с производството, подобряване на енергийната ефективност на сградите и използване на „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смарт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“ цифрови технологии за намаляване на енергийното потребление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Диверсификация на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чрез въвеждане на нови (местни/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аборигенни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чужди) видове, вкл. нови методи на производство (напр. интегрирани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мултитрофични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системи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разнообразяване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с цел намаляване на риболовния натиск върху тях (напр. калкан и други черноморски видове, вкл. пилотни проекти с цел намаляване на риболовния натиск върху тях)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Диверсификация на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чрез допълнителни дейности към основното производство (например ресторантьорство, търговски дейности, образователни дейности и др.)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Въвеждане на схеми и етикети за качество, в т.ч. защитено географско наименование за произход и др., осигуряващи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проследяемост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продуктите от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информираността на потребителите за тях чрез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дигитализиране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процеса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Добавяне на стойност, вкл. чрез извършване на първична обработка (чистене, сортиране, охлаждане и опаковане) на произведената продукция за подобряване на търговския вид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Подобряване на здравния статус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(въвеждане на собствен контрол върху здравето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използване на медикаменти и химикали с по-кратък период на разграждане и намаляване на тяхното вредно въздействие и др.)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на достъпа до пазара чрез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-пазарно ориентирани изследвания, разработване на стратегии и кампании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промотиране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собствено производство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-въвеждане и използване на специализирана складова техника и специализирани транспортни средства, отговарящи на капацитета и нуждите на бенефициента, свързани с подобряване на производството, преработката и продажбата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Диверсификация на традиционните продукти чрез въвеждане на нови продукти с добавена стойност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филетирани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опаковани и готови за употреба)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Подобряване на енергийната ефективност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декарбонизация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процесите на преработката с цел намаляване на вредното влияние върху околната среда и намаляване на себестойността на разходите (намаляване на замърсяването на водата, намаляване на потреблението на енергия и преминаване към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възобновяеми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енергийни източници)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оползотворяването на страничните продукти от преработка (в контекста на кръговата икономика) - намаляване или избягване на изхвърлянето на отпадъци, намаляване на хранителните отпадъци, многофункционални платформи, демонстратори или прототипи)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Въвеждане на схеми и етикети за качество и произход, използване на устойчива опаковка от екологично чист, многократно използваем,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рециклируем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материал,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проследяемост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продуктите от преработка чрез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дигитализиране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процеса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Обучения за подобряване професионалните знания и умения като: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-Придобиване на професионални умения и повишаване на квалификацията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-Развитие на дигитални умения и компетентност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Дейности, свързани с осигуряване на здравословни и безопасни условия на труд в сектор „Рибарство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“ като: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-Оборудване за подобряване на безопасността и осигуряване на здравословни условията на труд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-Подобряване на условията на труд за повишаване на атрактивността за млади и висококвалифицирани кадри чрез облекчаване на различни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времеемки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тежки физически дейности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-Осигуряване на достъп до специфични здравни услуги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Профилактични и медицински услуги за оператори в сектор „Рибарство“ в сферата на тематична област за интелигента специализация „Индустрия за здравословен начин на живот,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биотехнологии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“  като: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-персонална медицина, диагностика и индивидуална терапия, лечебни и лекарствени форми и средства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-медицински и лечебен туризъм с акцент върху възможностите за персонализация (немасов, а персонален туризъм)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еко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Въвеждане или пилотиране на иновативни дейности и услуги, свързани с устойчива синя и зелена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биобазирана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икономика в сферата на производство или продажба на продукти в сферата на тематична област за интелигента специализация „Индустрия за здравословен начин на живот,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биотехнологии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“  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-Въвеждане на иновативни методи и технологии в рибовъдството без използване на химически препарати и др.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-Морски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биотехнологии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които включват морски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биоресурси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като източник или цел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биотехнологичните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приложения), изискващи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биоресурси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събрани от водна или морската среда с пряко приложение в устойчивото ползване на морски ресурси, здравословен начин на живот, здравеопазване, фармацевтика, хранене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Биопроспекция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- изследване и експериментиране на продукти, получени от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биоресурси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включително растения, микроорганизми, животни и т.н., които могат да бъдат доразвити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комерсиализация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-ИКТ с приложение в тематичната област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Пилотни проекти за развитие на външно териториално сътрудничество с участие на местния бизнес, научни организации и публични институции в сферата на интелигента специализация и за подготовка за участие в международни програми и проекти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Хоризонтално и вертикално сътрудничество между участниците във веригата на доставки, производство, преработка и продажби за изграждането и развитието на къси вериги на производство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Диверсификация на дейностите и доходите извън рибарството, подпомагане разширяване на бизнес с нови дейности и продукти или разширяване на капацитет с цел отваряне на нови работни места;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Инвестиции в осигуряване на безопасни и здравословни условия на труд, подобряване на професионалния и здравния статус на рибарите и условията им на труд, осигуряване на безопасност и превенция в рибарството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екологични иновации и инвестиции в риболова и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с ниско въздействие върху околната среда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намаляване на въглеродния отпечатък на рибарството и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адаптиране към последиците от изменението на климата чрез капитализиране на екологичните активи и др.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въвеждане на цифрови технологии за постигане на прозрачен, ефективен и лесен за прилагане контрол и мониторинг на риболовните дейности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 Строително-монтажни работи (включително за разходи за независим строителен надзор, авторски надзор и инвеститорски контрол);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2. Закупуване на нови машини и оборудване (включително компютърно, водолазно и др.), съоръжения и други, свързани с  предвидената инвестиция, в това число и разходи, включени в продажната цена за осъществяване на доставката, инсталиране, изпитване и въвеждане в експлоатация на оборудването (машините), съоръженията;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3. Закупуване на софтуер, включително разходите за доставка, инсталация, тестване и въвеждане в експлоатация. Изграждане на системи за дигитализация, управление и съхраняване на информация 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4. Специализирана складова техника и специализирани транспортни средства, обслужващи производството, съхранението и търговията.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Ледогенератори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хладилни камери, цели производствени линии и други видове техника за охлаждане и/или съхранение;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5. Разходи за инвестиции на борда на кораба. Разходи за събиране и третиране на отпадъци. Разходи за селективни риболовни уреди, за избягване на нежелан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улов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намаляване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приулова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уреди и системи за отблъскване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китоподобни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видове. Разходи за подмяна на елементи от риболовните уреди с такива, подобряващи енергийната ефективност на риболова. Разходи водещи до постигане на устойчивост и опазване на околната среда в дейностите на сектора. Разходи за животоспасяващо, противопожарно, сигнално и др. оборудване на екипажа и риболовния кораб, друго разрешено специално оборудване;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6. Инвестиции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стопанства с цел подобряване на конкурентоспособността, устойчивостта и ефективното използване на ресурси, добавяне на стойност, повишаване на енергийната ефективност, подобряване на качеството и контрола на водата и др. Плавателни съдове, обслужващи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които са пряко свързани с него.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7. Инвестиции във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видеонаблюдение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или системи за сигурност и контрол,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възобновяеми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енергийни източници (ВЕИ), оборудване, свързано с опазването на околната среда;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8. Въвеждане на задължителни системи за проследяване, отчитане, дистанционно наблюдение и измерване. Въвеждане на системи за контрол на качеството, безопасни условия на труд и опазване на околната среда и водите и достигане на съответствие с международно признати стандарти; 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9. Обучения на персонала, свързани с основната дейност; 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10. Придобиване на подходящи професионални умения свързани с дейност по диверсификация (до 5 на сто от общите основни допустими разходи по проекта);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11. Съоръжения за ремонт или сервизни плавателни съдове обслужващи дейността/производството;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12. Ремонтни дейности на борда на риболовните кораби. Разходи за сух док по време на ремонта. Обновяване/ремонт/подмяна на корпуса/скелета на кораба, палуби, надстройки, каюти, всякакви вътрешни и външни елементи и системи от кораба и др., вкл. оборудване за закотвяне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швартоване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интериорно обзавеждане, технологично оборудване, осветителна и ел.система, навигационни и комуникационни системи, както и системи свързани с безопасност, сигурност, здраве, подобряване условията на труд и намаляване въздействието върху околната среда и др.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Бластиране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пребоядисване на корпуса и др. (чрез подмяна и/или дублаж), Обновяване/ремонт на силовата установка (основен и спомагателен двигател и енергийна централа), вкл. подмяна на елементи и механизми за управление и др. Смяна на протектори за статично електричество по корпуса на кораба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Vessel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Antistatic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Solutions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13. Разходи за екологични, образователни, научни дейности (до 5 на сто от общите основни допустими разходи по проекта);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14. Закупуване на оборудване, малки плавателни съдове (вкл. автономни) за образователни и/или научни дейности и услуги, професионални обучения и/или туристически дейности;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15. Разходи свързани с диверсификация на дейности, производства и услуги в други отрасли на икономиката (извън сектор „Рибарство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”), включително за създаване на нови или разширяване на съществуващи такива. Закупуване на нови машини и оборудване (включително компютърно), съоръжения и други, свързани с диверсификацията (вкл. за заведения за хранене (вкл.мобилни), консервиране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16. Разходи за маркетинг и предлагане на пазара (до 5 на сто от общите основни допустими разходи по проекта);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17. Разходи за организация, управление и отчитане на проекта (до 4 на сто от общите основни допустими разходи по проекта).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18.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ab/>
              <w:t>Закупуване на специализирани транспортни средства, отговарящи на капацитета и нуждите на предприятието, свързани с подобряване на производството, преработката и продажбата включително придобити чрез финансов лизинг;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19. Разходи за инвестиции във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възобновяеми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енергийни източници (ВЕИ) за получаване на топлинна и/или електроенергия, необходими и пряко свързани с производствената дейност на кандидата, включително придобити чрез финансов лизинг;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20. Разходи за инвестиции в пречиствателни съоръжения за отпадни води и оборудване, свързано с опазването на околната среда, включително придобити чрез финансов лизинг;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21. Закупуване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ноу-хау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патентни права и лицензи, необходими за изготвяне и/или изпълнение на проекта;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22. Разходи за консултантски услуги, свързани с подготовката и изпълнението на проекта, предварителни проучвания, оценки и анализи, изготвяне на технически/работен проект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23.Предварителни проучвания, оценки, анализи и изготвяне на технически и/или технологичен проект и др. Технологичният проект следва да е изготвен от специалист с образование, съответстващо на спецификата на технологията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Интензитет на помощта за всички операции в рамките на всяка една дейност е според изискванията на според член 41, ал. 2 от РЕГЛАМЕНТ (ЕС) 2021/1139 :</w:t>
            </w:r>
          </w:p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 максимален интензитет на помощта е в размер на 50 % от общите допустими разходи за операцията.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2. Чрез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дерогация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от параграф 1 максималните специални ставки на интензитета на помощта са определени в приложение III към РЕГЛАМЕНТ (ЕС) 2021/1139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-23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3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то и 4-то</w:t>
            </w:r>
          </w:p>
          <w:p w:rsidR="002E5CFE" w:rsidRPr="002E5CFE" w:rsidRDefault="002E5CFE" w:rsidP="002E5CFE">
            <w:pPr>
              <w:spacing w:before="60" w:after="60" w:line="240" w:lineRule="auto"/>
              <w:ind w:left="-23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тр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ме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ч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ие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8" w:right="7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9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0</w:t>
            </w:r>
            <w:r w:rsidRPr="002E5CFE">
              <w:rPr>
                <w:rFonts w:ascii="Arial" w:eastAsia="Times New Roman" w:hAnsi="Arial" w:cs="Arial"/>
                <w:spacing w:val="3"/>
                <w:sz w:val="14"/>
                <w:szCs w:val="14"/>
              </w:rPr>
              <w:t xml:space="preserve">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дни 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т д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а на 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о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я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в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я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ва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 на п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ро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ц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</w:t>
            </w:r>
            <w:r w:rsidRPr="002E5CFE"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у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а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т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8" w:right="70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10 225,99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199 406,89</w:t>
            </w:r>
          </w:p>
        </w:tc>
      </w:tr>
      <w:tr w:rsidR="002E5CFE" w:rsidRPr="002E5CFE" w:rsidTr="00604B48">
        <w:trPr>
          <w:trHeight w:val="213"/>
          <w:jc w:val="center"/>
        </w:trPr>
        <w:tc>
          <w:tcPr>
            <w:tcW w:w="16067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pacing w:val="1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     Приоритет 2. „Подпомагане на развитието на устойчива синя икономика ”</w:t>
            </w:r>
          </w:p>
        </w:tc>
      </w:tr>
      <w:tr w:rsidR="002E5CFE" w:rsidRPr="002E5CFE" w:rsidTr="00604B48">
        <w:trPr>
          <w:trHeight w:val="101"/>
          <w:jc w:val="center"/>
        </w:trPr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35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2.1 „</w:t>
            </w:r>
            <w:proofErr w:type="spellStart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Дребномащабна</w:t>
            </w:r>
            <w:proofErr w:type="spellEnd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 инфраструктура и услуги за устойчива синя икономика“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Очакван принос към целите на стратегията и подхода ВОМР съгласно ПМДРА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Дейност №2 е планирана да осигури принос за изпълнение на: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Стратегическа цел №1: Подобряване на условията за диверсификация на синята икономика и развитие на устойчива синя икономика в рибарска територия „Крайморска Добруджа“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ПРИОРИТЕТ №2: Подпомагане на развитието на устойчива синя икономика </w:t>
            </w:r>
          </w:p>
          <w:p w:rsidR="002E5CFE" w:rsidRPr="002E5CFE" w:rsidRDefault="002E5CFE" w:rsidP="002E5CFE">
            <w:pPr>
              <w:spacing w:before="60" w:after="60" w:line="240" w:lineRule="auto"/>
              <w:ind w:left="50" w:right="49"/>
              <w:rPr>
                <w:rFonts w:ascii="Arial" w:eastAsia="Arial Unicode MS" w:hAnsi="Arial" w:cs="Arial"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Специфична цел 2.1. Подпомагане на развитието на </w:t>
            </w:r>
            <w:proofErr w:type="spellStart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>дребномащабна</w:t>
            </w:r>
            <w:proofErr w:type="spellEnd"/>
            <w:r w:rsidRPr="002E5CFE">
              <w:rPr>
                <w:rFonts w:ascii="Arial" w:eastAsia="Arial Unicode MS" w:hAnsi="Arial" w:cs="Arial"/>
                <w:sz w:val="14"/>
                <w:szCs w:val="14"/>
                <w:lang w:eastAsia="bg-BG"/>
              </w:rPr>
              <w:t xml:space="preserve"> инфраструктура и услуги за устойчива синя икономика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Arial Unicode MS" w:hAnsi="Arial" w:cs="Arial"/>
                <w:iCs/>
                <w:sz w:val="14"/>
                <w:szCs w:val="14"/>
                <w:lang w:eastAsia="bg-BG"/>
              </w:rPr>
            </w:pPr>
            <w:r w:rsidRPr="002E5CFE">
              <w:rPr>
                <w:rFonts w:ascii="Arial" w:eastAsia="Arial Unicode MS" w:hAnsi="Arial" w:cs="Arial"/>
                <w:iCs/>
                <w:sz w:val="14"/>
                <w:szCs w:val="14"/>
                <w:lang w:eastAsia="bg-BG"/>
              </w:rPr>
              <w:t>460 169,75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6" w:right="45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Общини Балчик, Каварна, Шабла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Изграждане, подобряване или разширяване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инфраструктура и осигуряване на технически съоръжения и/или оборудване (насочени към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риболов) на или близо до рибарски пристанища,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лодкостоянки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или традиционно обособени места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домуване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рибарски плавателни съдове: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безопасно влизане и излизане в морето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защита на акватории от вълнения, течения и наноси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подпомагане на създаването, подобряването и оборудването за безопасно акостиране и разтоварване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улова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при хигиенични и безопасни условия на труд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осигуряване на водоснабдяване, канализация, електроснабдяване и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геозащитната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дейност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осигуряваща пускането на вода на плавателните съдове, както и тяхното изваждане на сушата за изваждане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улова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съхранение или за извършване на ремонтни дейности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осигуряване на места за ремонт и зареждане на лодките с гориво, електрозахранване и водоснабдяване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 на плаващи понтони за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домуване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лодките на вода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на места за съхранение на лодките извън водата и инвентара за риболов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на места и създаване на условия за продажба и директна продажба от рибари на или в близост до пристанищата - рибен пазар за директна продажба на пристанището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създаване на условия за продажба и директна продажба от рибари на или в близост до рибарски пристанища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лодкостоянки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съвместно управление на рибарски пристанища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лодкостоянки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на енергийната ефективност, подпомагане опазването на околната среда и подпомагане събирането на отпадъци в морската акватория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 на електрически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зарядни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соларни панели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събиране, разтоварване, обработка и управление на отпадъци, плаващите в морето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осигуряване на условия за първоначално преработване и отложена продажба в рамките на пристанищата – хладилни помещения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ледогенератори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обособяване на отворени пространство за културни дейности на открито в рамките на пристанищата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осигуряване на достъпна среда в урбанизираната територия и на сградите и съоръженията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Развитие на устойчив крайбрежен туризъм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 и обновяване на туристически обекти и развитие на туристически услуги и атракции с акцент върху риболовен туризъм, приключенски туризъм,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рекреационен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туризъм, и други форми на туризъм, както и отдих и свободно време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 на туристически атракции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разработване на туристически продукти на основата на дигитализация на местното природно, културно историческо наследство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разработване на туристически продукти на основата на разработване на продукти и услуги в областта на креативните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рекреативните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индустрии, културни и творчески индустрии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Създаване, подобряване или разширяване на малка по мащаби публична инфраструктура за обществено ползване за подкрепа за развитие на устойчива синя икономика в рибарската територия: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подобряване или разширяване на публична инфраструктура, осигуряване на технически съоръжения и/или оборудване, насочени към развитие на устойчивата синя икономика като: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инфраструктура за отдих, свързани със синя икономика в рибарската територия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реконструкция и/или ремонт на пространства и сгради, в които се предоставят услуги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обновяване и развитие на рибарски селища -  подобряване достъпа, съхранение на инвентар, осигуряване на пазарни площи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Изграждане, подобряване или разширяване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публична туристическа инфраструктура за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Строителство, реконструкция и/или рехабилитация на нови и съществуващи инфраструктурни обекти за устойчив крайбрежен туризъм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и/или обновяване на пространства за устойчив крайбрежен туризъм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реконструкция, ремонт, оборудване и/или закупуване на оборудване за развитие на устойчив крайбрежен туризъм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 на информационна инфраструктура за устойчив крайбрежен туризъм –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инфо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точки, указателни табели, маршрути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на достъпа, съхранението на инвентар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Създаване, подобряване или разширяване на услуги, свързани с устойчивата синя икономика и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и разширяване на основните услуги, свързани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на безопасността и условията на труд,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профилактични и медицински услуги за оператори в сектор „Рибарство“ в сферата на тематична област за интелигента специализация „Индустрия за здравословен начин на живот,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биотехнологии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“  като: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персонална медицина, диагностика и индивидуална терапия, лечебни и лекарствени форми и средства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5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медицински и лечебен туризъм с акцент върху възможностите за персонализация (немасов, а персонален туризъм) и др.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строително-монтажни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работи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строителство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разширяване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дострояване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обновяване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преустройство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реконструкция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всички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видове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ремонт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довършителни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работи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специфични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зависимост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предназначението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обекта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независим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строителен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авторски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надзор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инвеститорски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контрол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),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ВИК,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електротехнически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механични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работи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отопление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proofErr w:type="gram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.;</w:t>
            </w:r>
            <w:proofErr w:type="gramEnd"/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2.Закупуване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инсталиране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нови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машини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компютърно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),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съоръжения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обзавеждане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пряко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предвидената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инвестиция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включени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продажната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осъществяване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доставката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инсталиране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изпитване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въвеждането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експлоатация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/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машините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съоръженията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3.Закупуване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специализирана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техника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пряко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със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съхранението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разтоварването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обработката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продукти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както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всяка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друга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дейност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операторите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сектора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4.Въвеждане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системи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контрол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качеството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безопасни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условия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труд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опазване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околната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среда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водите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достигане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съответствие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международно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признати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стандарти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Изграждане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системи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дигитализация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управление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5.Разходи,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приемане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отпадъци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: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а)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съоръжения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отпадъците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придобити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чрез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финансов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лизинг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б) </w:t>
            </w:r>
            <w:proofErr w:type="spellStart"/>
            <w:proofErr w:type="gram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пречиствателни</w:t>
            </w:r>
            <w:proofErr w:type="spellEnd"/>
            <w:proofErr w:type="gram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съоръжения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отпадни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опазването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околната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среда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придобити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чрез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финансов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лизинг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6.Разходи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обучения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персонал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експлоатация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обекти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работа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техника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7.Изграждане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съоръжения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швартоване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лодкостоянка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пристан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разтоварване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8.Дейности,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насочени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към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запазване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поддържане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представяне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всякаква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форма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културно-историческото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природното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морското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както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екологични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образователни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инициативи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дейности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всякакъв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формат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9.Разходи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проучвания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анализи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опазване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екологията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защита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брега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пристанищната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инфраструктура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хонорари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инструменти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командировъчни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реклама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10.Разходи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обучения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курсове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професионална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квалификация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преквалификация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възнаграждения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командировъчни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наем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учебни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помещения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оборудване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учебни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кетъринг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дминистративни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практически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занимания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) </w:t>
            </w: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cr/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11.Разходи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проучвания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анализи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маркетингови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бизнес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планове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интегрирани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туристически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маршрути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стратегии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внедряване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иновации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въвеждане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електронна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търговия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информационни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системи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технологии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маркетингови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продукти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12.Разходи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спортни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международни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честване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празници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регати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състезания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концерти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пленери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. </w:t>
            </w:r>
            <w:proofErr w:type="gram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</w:t>
            </w:r>
            <w:proofErr w:type="gram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региона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рибарството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туризма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хонорари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кетъринг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преводачески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реклама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маркетинг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13.Закупуване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ноу-хау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патентни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права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лицензи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софтуер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доставка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инсталация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тестване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въвеждане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експлоатация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необходими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изготвяне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изпълнение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проекта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14.Закупуване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специализирани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транспортни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плавателни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средства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15.Разходи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подготовка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проектното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предложение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предварителни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инженерни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проучвания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оценки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анализи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изготвяне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технически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и/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технологичен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проект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),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строителен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авторски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надзор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-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размер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повече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5%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допустимите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16.Разходи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дейности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публичност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разпространение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рекламни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информационни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необходими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изпълнение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проекта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печатни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интернет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сайтове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интернет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приложения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използване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социални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мрежи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.);</w:t>
            </w:r>
          </w:p>
          <w:p w:rsidR="002E5CFE" w:rsidRPr="002E5CFE" w:rsidRDefault="002E5CFE" w:rsidP="002E5CFE">
            <w:pPr>
              <w:spacing w:after="0" w:line="240" w:lineRule="auto"/>
              <w:ind w:left="49" w:right="14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17.Разходи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подготовка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партньорства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темите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партньорство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наемане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експерти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необходими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темите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партньорство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;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Интензитет на помощта за всички операции в рамките на всяка една дейност в тази стратегия е според изискванията на според член 41, ал. 2 от РЕГЛАМЕНТ (ЕС) 2021/1139 </w:t>
            </w:r>
          </w:p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1. максимален интензитет на помощта е в размер на 90 % от общите допустими разходи за операцията.</w:t>
            </w:r>
          </w:p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2. Чрез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дерогация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 от параграф 1 максималните специални ставки на интензитета на помощта са определени в приложение III към РЕГЛАМЕНТ (ЕС) 2021/1139:</w:t>
            </w:r>
          </w:p>
          <w:p w:rsidR="002E5CFE" w:rsidRPr="002E5CFE" w:rsidRDefault="002E5CFE" w:rsidP="002E5CFE">
            <w:pPr>
              <w:spacing w:before="60" w:after="60" w:line="240" w:lineRule="auto"/>
              <w:ind w:left="40" w:right="71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Ред № 8 Операции, за които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бенефициерът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 е публичен орган или предприятие, натоварено с функцията да оказва услуги от общ икономически интерес, както е посочено в член 106, параграф 2 от ДФЕС , когато подкрепата се предоставя за оказване на такива услуги - 90 %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-23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3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то и 4-то</w:t>
            </w:r>
          </w:p>
          <w:p w:rsidR="002E5CFE" w:rsidRPr="002E5CFE" w:rsidRDefault="002E5CFE" w:rsidP="002E5CFE">
            <w:pPr>
              <w:spacing w:before="60" w:after="60" w:line="240" w:lineRule="auto"/>
              <w:ind w:left="-23"/>
              <w:jc w:val="center"/>
              <w:rPr>
                <w:rFonts w:ascii="Arial" w:eastAsia="Times New Roman" w:hAnsi="Arial" w:cs="Arial"/>
                <w:spacing w:val="1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тр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ме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</w:t>
            </w:r>
            <w:r w:rsidRPr="002E5CFE"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е</w:t>
            </w: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ч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ие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8" w:right="70"/>
              <w:rPr>
                <w:rFonts w:ascii="Arial" w:eastAsia="Times New Roman" w:hAnsi="Arial" w:cs="Arial"/>
                <w:spacing w:val="1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90 дни от датата на обявяване на процедурата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8" w:right="70"/>
              <w:rPr>
                <w:rFonts w:ascii="Arial" w:eastAsia="Times New Roman" w:hAnsi="Arial" w:cs="Arial"/>
                <w:spacing w:val="1"/>
                <w:sz w:val="14"/>
                <w:szCs w:val="1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25 564,99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pacing w:val="1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pacing w:val="1"/>
                <w:sz w:val="14"/>
                <w:szCs w:val="14"/>
              </w:rPr>
              <w:t>153 389,92</w:t>
            </w:r>
          </w:p>
        </w:tc>
      </w:tr>
      <w:tr w:rsidR="002E5CFE" w:rsidRPr="002E5CFE" w:rsidTr="00604B48">
        <w:trPr>
          <w:trHeight w:val="421"/>
          <w:jc w:val="center"/>
        </w:trPr>
        <w:tc>
          <w:tcPr>
            <w:tcW w:w="16067" w:type="dxa"/>
            <w:gridSpan w:val="2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5CFE" w:rsidRPr="002E5CFE" w:rsidRDefault="002E5CFE" w:rsidP="002E5CFE">
            <w:pPr>
              <w:spacing w:before="60" w:after="60" w:line="240" w:lineRule="auto"/>
              <w:ind w:left="335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5CFE" w:rsidRPr="002E5CFE" w:rsidTr="00604B48">
        <w:trPr>
          <w:gridAfter w:val="1"/>
          <w:wAfter w:w="101" w:type="dxa"/>
          <w:trHeight w:val="4901"/>
          <w:jc w:val="center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8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2.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. „Услуги за развитие на устойчива синя икономика ”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5" w:right="6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Очакван принос към целите на стратегията и подхода ВОМР съгласно ПМДРА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55" w:right="6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Дейност №3 е планирана да осигури принос за изпълнение на:</w:t>
            </w:r>
          </w:p>
          <w:p w:rsidR="002E5CFE" w:rsidRPr="002E5CFE" w:rsidRDefault="002E5CFE" w:rsidP="002E5CFE">
            <w:pPr>
              <w:spacing w:before="60" w:after="60" w:line="240" w:lineRule="auto"/>
              <w:ind w:left="55" w:right="6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Стратегическа цел №1: Подобряване на условията за диверсификация на синята икономика и развитие на устойчива синя икономика в рибарска територия „Крайморска Добруджа“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55" w:right="6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ПРИОРИТЕТ №2: Подпомагане на развитието на устойчива синя икономика </w:t>
            </w:r>
          </w:p>
          <w:p w:rsidR="002E5CFE" w:rsidRPr="002E5CFE" w:rsidRDefault="002E5CFE" w:rsidP="002E5CFE">
            <w:pPr>
              <w:spacing w:before="60" w:after="60" w:line="240" w:lineRule="auto"/>
              <w:ind w:left="55" w:right="61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Специфична цел 2.1. Подпомагане на развитието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инфраструктура и услуги за устойчива синя икономика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77 640,86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6" w:right="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Юридически лица, регистрирани по ЗЮЛНЦ и Закона за народните читалища/ЗНЧ/;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Развитие на устойчив крайбрежен туризъм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 и обновяване на туристически обекти и развитие на туристически услуги и атракции с акцент върху риболовен туризъм, приключенски туризъм,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рекреационен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туризъм, и други форми на туризъм, както и отдих и свободно време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 на туристически атракции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разработване на туристически продукти на основата на дигитализация на местното природно, културно историческо наследство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разработване на туристически продукти на основата на разработване на продукти и услуги в областта на креативните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рекреативните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индустрии, културни и творчески индустрии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Създаване, подобряване или разширяване на малка по мащаби инфраструктура за подкрепа за развитие на устойчива синя икономика в рибарската територия: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Изграждане, подобряване или разширяване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туристическа инфраструктура за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Строителство, реконструкция и/или рехабилитация на нови и съществуващи инфраструктурни обекти за устойчив крайбрежен туризъм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и/или обновяване на пространства за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реконструкция, ремонт, оборудване и/или закупуване на оборудване за развитие на устойчив крайбрежен туризъм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 на информационна инфраструктура за устойчив крайбрежен туризъм –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инфо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точки, указателни табели, маршрути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Подобряване на достъпа, съхранението на инвентар и др.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подобряване или разширяване на публична инфраструктура, осигуряване на технически съоръжения и/или оборудване, насочени към развитие на устойчивата синя икономика като: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инфраструктура за отдих, свързани с морето, морските дейности и водните спортове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реконструкция и/или ремонт на пространства и сгради, в които се предоставят услуги, свързани с морето, морските дейности и водните спортни дейности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обновяване и развитие на рибарски селища -  подобряване достъпа, съхранение на инвентар, осигуряване на пазарни площи и др. свързани с морето, морските дейности и спортове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Изграждане, подобряване или разширяване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дребномащабна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туристическа инфраструктура за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Изграждане, реконструкция, ремонт, оборудване и/или закупуване на оборудване за обзавеждане на обекти за устойчив крайбрежен туризъм.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Изграждане на информационна инфраструктура за устойчив крайбрежен туризъм –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инфо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точки, указателни табели, маршрути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и/или обновяване на публични пространства за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Строителство, реконструкция и/или рехабилитация на нови и съществуващи инфраструктурни обекти за устойчив крайбрежен туризъм;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достъпа, съхранение на инвентар и др. свързани с морето, морските дейности и водните спортове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Създаване, подобряване или разширяване на услуги, свързани с устойчивата синя икономика и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подобряване и разширяване на основните услуги, свързани с устойчивата синя икономика и устойчив крайбрежен туризъм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осигуряване на възможности за професионално обучение на икономически неактивни представители на „групи в неравностойно положение на пазара на труда“  за придобиване на нова или повишаване на професионална квалификация или ключови компетентности: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Придобиване на квалификация по професия „Техник по промишлен риболов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“ (професионално направление "Рибно стопанство" съгласно Списъка на професиите за професионално образование и обучение от Закона за професионалното образование и обучение) и трета степен на професионална квалификация за специалност "Промишлен риболов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"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Водолазите и гмуркачите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Воден спасител на открити водни площи и море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Капитан на кораб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корабоводител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)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Обучения за подобряване професионалните знания и умения и придобиване на квалификация като: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Придобиване на професионални умения и повишаване на квалификацията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Развитие на дигитални умения и компетентност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Опазване и възстановяването на биологичното разнообразие и екосистемите като събиране на отпадъци, изгубени риболовни уреди, морски отпадъци, услуги за биологично разнообразие, вкл. с участието на рибари и др.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Подобрявена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морската среда и крайбрежието в рибарските територии и смекчаване на негативното влияние върху климата 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Развитие на местните екологични знания и повишаване на осведомеността по проблемите на околната среда сред рибарската общност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1.Разходи за строително-монтажни работи (строителство, разширяване/ дострояване, обновяване, преустройство, реконструкция, всички видове ремонт, довършителни работи и други специфични, в зависимост от предназначението на обекта), разходи за ВИК, електротехнически и механични работи, отопление и др.;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2.Закупуване и инсталиране на нови машини и оборудване (вкл. компютърно), съоръжения, обзавеждане и други, пряко свързани с предвидената инвестиция, включително разходи, включени в продажната цена за осъществяване на доставката, инсталиране, изпитване и въвеждането в експлоатация на оборудването/ машините/съоръженията;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3.Разходи за обучения на персонал за експлоатация на обекти и работа с техника;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4.Разходи за проучвания и анализи свързани с опазване на екологията включително защита на брега и пристанищната инфраструктура (услуги, хонорари, инструменти, материали, организиране на събития, командировъчни и реклама);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5.Разходи за обучения и курсове  за професионалната квалификация и/или преквалификация включително (възнаграждения, командировъчни, наем на учебни помещения и оборудване, учебни материали,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кетъринг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аминистративни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разходи,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за практически занимания и др.)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6.Разходи за разработване на проучвания, маркетингови и бизнес планове, разработване на интегрирани туристически маршрути, стратегии за внедряване на иновации, въвеждане на електронна търговия, информационни системи и технологии, маркетингови продукти;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7.Разходи за анализи, проучвания, изработване на инвестиционни профили, събития (услуги, хонорари, материали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8.Разходи за организиране на спортни и културни събития, включително и международни: честване на празници, регати, риболовни състезания, концерти, пленери, фестивали и пр. с цел популяризиране на региона, рибарството и туризма (услуги, хонорари, материали,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кетъринг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преводачески услуги, реклама, маркетинг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9.Разходи за организиране на посещения и участие на специализирани борси за туризъм за представяне на местен туристически продукт и осъществяване на нови професионални контакти. (услуги и командировки);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10.Закупуване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ноу-хау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патентни права и лицензи, софтуер, включително разходите за доставка, инсталация, тестване и въвеждане в експлоатация необходими за изготвяне и изпълнение на проекта;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11.Закупуване на специализирани транспортни и плавателни средства;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12.Разходи за подготовка на проектното предложение и предварителни разходи (инженерни проучвания, оценки, анализи и изготвяне на технически и/или технологичен проект и други услуги), разходи за строителен и авторски надзор - в общ размер на не повече от 5% от общо допустимите разходи.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13.Разходи за проучвания и анализи свързани с опазване на екологията включително защита на брега и пристанищната инфраструктура (услуги, хонорари, инструменти, материали, организиране на събития, командировъчни и реклама);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14.Разходи за организиране на срещи на територията на МИРГ (настаняване, изхранване на гостите, услуги);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15.Разходи за дейности по информация и публичност като разработване и разпространение на рекламни и информационни материали, необходими за изпълнение на проекта (печатни материали, интернет сайтове, интернет приложения и използване на социални мрежи, разходи за популяризиране на събития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16.Разходи за услуги свързани с подготовка на партньорства, разработване на материали по темите за партньорство, наемане на експерти необходими по темите на партньорство;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6" w:right="14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17.Разходи за анализи, проучвания, изработване на инвестиционни профили, събития;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Интензитет на помощта за всички операции в рамките на всяка една дейност в тази стратегия е според изискванията на според член 41, ал. 2 от РЕГЛАМЕНТ (ЕС) 2021/1139 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 максимален интензитет на помощта е в размер на 90 % от общите допустими разходи за операцията.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2. Чрез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дерогация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от параграф 1 максималните специални ставки на интензитета на помощта са определени в приложение III към РЕГЛАМЕНТ (ЕС) 2021/1139: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Ред № 13 Операции, подкрепяни съгласно член 30 и отговарящи на най-малко един от следните критерии - </w:t>
            </w:r>
            <w:r w:rsidRPr="002E5CFE">
              <w:rPr>
                <w:rFonts w:ascii="Arial" w:eastAsia="Times New Roman" w:hAnsi="Arial" w:cs="Arial"/>
                <w:sz w:val="14"/>
                <w:szCs w:val="14"/>
              </w:rPr>
              <w:tab/>
              <w:t>90 %: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i)са от колективен интерес;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ii)имат колективен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бенефициер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; или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iii)имат новаторски характеристики, когато е целесъобразно, на местно равнище, и осигуряват публичен достъп до своите резултати.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3-то и 4-то</w:t>
            </w:r>
          </w:p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тримесечие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48" w:right="15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90 дни от датата на обявяване на процедурата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48" w:right="15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10 225,99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51 129,97</w:t>
            </w:r>
          </w:p>
        </w:tc>
      </w:tr>
      <w:tr w:rsidR="002E5CFE" w:rsidRPr="002E5CFE" w:rsidTr="00604B48">
        <w:trPr>
          <w:trHeight w:hRule="exact" w:val="466"/>
          <w:jc w:val="center"/>
        </w:trPr>
        <w:tc>
          <w:tcPr>
            <w:tcW w:w="16067" w:type="dxa"/>
            <w:gridSpan w:val="2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327"/>
              <w:rPr>
                <w:rFonts w:ascii="Arial" w:eastAsia="Times New Roman" w:hAnsi="Arial" w:cs="Arial"/>
                <w:sz w:val="18"/>
                <w:szCs w:val="18"/>
              </w:rPr>
            </w:pPr>
            <w:r w:rsidRPr="002E5CFE">
              <w:rPr>
                <w:rFonts w:ascii="Arial" w:eastAsia="Times New Roman" w:hAnsi="Arial" w:cs="Arial"/>
                <w:b/>
                <w:spacing w:val="-1"/>
                <w:sz w:val="18"/>
                <w:szCs w:val="18"/>
              </w:rPr>
              <w:t>Приоритет 3 „Опазване и възстановяване на морските екосистеми и тяхното биологичното разнообразие чрез сътрудничество и интелигентна специализация ”</w:t>
            </w:r>
          </w:p>
        </w:tc>
      </w:tr>
      <w:tr w:rsidR="002E5CFE" w:rsidRPr="002E5CFE" w:rsidTr="00604B48">
        <w:trPr>
          <w:gridAfter w:val="1"/>
          <w:wAfter w:w="101" w:type="dxa"/>
          <w:trHeight w:val="13686"/>
          <w:jc w:val="center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4.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0" w:right="13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3.1.„Сътрудничество и интелигентна специализация за възстановяване и опазване на морските екосистеми и тяхното биологично разнообразие ”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Укрепване на местната общност чрез изграждане на устойчиви мрежи за партньорство, обмен на опит и знания, и развитие на интегрирана стратегии в областта на рибарството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територията.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87" w:right="26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168 728,91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86" w:right="18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МИРГ Шабла – Каварна – Балчик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Подкрепа на местните общности, свързани с рибарството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чрез активна ангажираност в местното развитие.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Организиране на работа в мрежа;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на капацитет, обучения, семинари и въвеждане на иновации;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Повишаване на осведомеността по проблемите на околната среда сред широката общественост, предоставяне на нови възможности за райони, зависими от риболова;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Сътрудничество и обмяна на опит с други МИРГ, МИГ, както и подобен тип структури, прилагащи подходи за териториално развитие.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Създаване на платформи за сътрудничество между различни заинтересовани страни, представяне на местни продукти и културни ресурси.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Инициативи за съвместно управление на защитени територии.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Финансиране на съвместни проекти с други МИГ/МИРГ от България и ЕС.в интерес на рибарските общности, туризма и опазване на екологията.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Подкрепа на местните общности, свързани с рибарството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, чрез активна ангажираност в местното развитие.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Подкрепа за изграждане и/или обновяване на центрове за различни дейности свързани с рибарството, туризма, културата и екологичното образование в рибарската територия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Организиране на фестивали и събития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Управление, възстановяване, наблюдение и мониторинг на защитените зони по „Натура 2000“, вземайки предвид рамките за приоритетно действие, установени съгласно член 8 от Директива 92/43/ЕИО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Защита на видовете по силата на Директива 92/43/ЕИО и Директива 2009/147/ЕО, вземайки предвид рамките за приоритетно действие, установени съгласно член 8 от Директива 92/43/ЕИО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Събиране, управление и използване на данни за подобряване на знанията за състоянието на морската среда с цел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постигане или поддържане на добро екологично състояние на морската среда в съответствие с член 1, параграф 1 от Директива 2008/56/ЕО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изпълнение на изискванията за  мониторинг, определяне  и управление на защитени зони съгласно директиви 92/43/ЕИО и 2009/147/ЕО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подпомагане на морското пространствено планиране, посочено в Директива 2014/89/ЕС на Европейския парламент и на Съвета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Изследвания на екологичното състояние и рибните и нерибни биологични ресурси и изготвяне на препоръки за тяхното опазване, възстановяване и устойчиво използване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Мониторинг и оценки на екологичното състояние на водите и състоянието на морската околна среда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Проучвания, събиране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проби или данни, мониторинг, оценки на риска и др., които са извън обхвата на националните програми за събиране на данни за да послужат на разширяване на съществуващи бази данни и създаване на нови такива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Изграждане и оборудване на лаборатории за първичен контрол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Пилотни проекти за развитие на извън териториално сътрудничество с участие на местния бизнес, научни организации и публични институции в сферата на интелигента специализация и подготовка за участие в проекти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Пилотни училищни дейности в сферата на интелигентната специализация и STEM и специализации за решаване на екологични проблеми (управление на отпадъците, енергийната ефективност) в рибарската територия с помощта на STEM направления и специализации (3D очила с виртуална реалност, 3D принтери и др.) в училища като „Зелени технологии и устойчиво развитие“, „Природни науки“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Опазване и възстановяване на морското биологично разнообразие и екосистеми за постигане на добро екологично състояние на морските води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Подпомагане на мониторинг на въздействието на рибарството върху морските екосистеми и върху уязвими и чувствителни видове;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Подпомагане на мониторинга на въздействието на други човешки дейности и тяхното въздействие върху рибните запаси и др..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Образователни дейности насочена към по-добра защита на природата и постигане на обрат в тенденцията към деградация на екосистемите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Кампании за почистване, допринасящи за добро екологично състояние, включително възстановяването на природата, опазването, защитата на екосистемите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Превенция и контрол на морски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Издаване на научно популярна и научна периодика и литература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Изработване и съхранение на база данни с литературни източници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Организиране и участия във фестивали и изложения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Пилотиране на дейности за създаване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синергия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между научноизследователска и развойна дейност и иновации, рибарския сектор и образователни институции в рибарската територия в приоритетната за Област Добрич тематична област за интелигента специализация „Индустрия за здравословен начин на живот,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биотехнологии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“ и по конкретно в рамките на някои от следните подобласти: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Биотехнологии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с пряко приложение за здравословен начин на живот; 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Въвеждане на иновативни методи в рибовъдството, без използване на химически препарати;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Приложение на нови методи и технологии в устойчивото ползване на морски ресурси;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Синя и зелена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биобазирана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икономика;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Индустриални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биотехнологии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ИКТ с приложение в тематичната област;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Повишаване на разбирането за и консултиране на МИРГ и заинтересованите страни относно опазване и възстановяване на морското и крайбрежното биоразнообразие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Осигуряване на възможности за професионално обучение на икономически неактивни представители на „групи в неравностойно положение на пазара на труда“  за придобиване на нова или повишаване на професионална квалификация или ключови компетентности: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Придобиване на квалификация по професия „Техник по промишлен риболов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“ (професионално направление "Рибно стопанство" съгласно Списъка на професиите за професионално образование и обучение от Закона за професионалното образование и обучение) и трета степен на професионална квалификация за специалност "Промишлен риболов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"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Водолазите и гмуркачите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Воден спасител на открити водни площи и море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Капитан на кораб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корабоводител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)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Обучения за подобряване професионалните знания и умения и придобиване на квалификация като: 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Придобиване на професионални умения и повишаване на квалификацията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right="40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Развитие на дигитални умения и компетентност на рибари и работещи в производството на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и преработка и др.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1.Разходи за строително-монтажни работи;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2.Закупуване и инсталиране на нови машини и оборудване;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3.Разходи за услуги, проучвания, техническо/технологични разработки насочени към развитие на занаятчийството, създаване на туристически продукти и атракции, стартиране или развитие на бизнес дейности и предприемачество, развлекателни и спортни дейности (услуги, хонорари, командировки, материали, реклама, маркетинг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4.Разходи за организиране на посещения и участие на срещи с партньори в България и чужбина (пътни, услуги, командировки и пр.);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5.Разходи за организиране на срещи на територията на МИРГ (настаняване, изхранване на гостите, услуги);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6.Разходи за дейности по информация и публичност като разработване и разпространение на рекламни и информационни материали, необходими за изпълнение на проекта (печатни материали, интернет сайтове, интернет приложения и използване на социални мрежи, разходи за популяризиране на събития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7.Разходи за услуги свързани с подготовка на партньорства, разработване на материали по темите за партньорство, наемане на експерти необходими по темите на партньорство;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8.Разходи за анализи, проучвания, изработване на инвестиционни профили, събития;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9.Организиране на събития свързани със сътрудничество и партньорства;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Интензитет на помощта за всички операции в рамките на всяка една дейност в тази стратегия е според изискванията на според член 41, ал. 2 от РЕГЛАМЕНТ (ЕС) 2021/1139 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 максимален интензитет на помощта е в размер на 90 % от общите допустими разходи за операцията.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2. Чрез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дерогация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от параграф 1 максималните специални ставки на интензитета на помощта са определени в приложение III към РЕГЛАМЕНТ (ЕС) 2021/1139: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Ред № 13 Операции, подкрепяни съгласно член 30 и отговарящи на най-малко един от следните критерии - 90 %: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ii)са от колективен интерес;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ii)имат колективен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бенефициер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; или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iii)имат новаторски характеристики, когато е целесъобразно, на местно равнище, и осигуряват публичен достъп до своите резултати.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3-то и 4-то</w:t>
            </w:r>
          </w:p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тримесечие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76" w:right="43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90 дни от датата на обявяване на процедурата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76" w:right="43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highlight w:val="yellow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15 338,99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102 259,94</w:t>
            </w:r>
          </w:p>
        </w:tc>
      </w:tr>
      <w:tr w:rsidR="002E5CFE" w:rsidRPr="002E5CFE" w:rsidTr="00604B48">
        <w:trPr>
          <w:gridAfter w:val="1"/>
          <w:wAfter w:w="101" w:type="dxa"/>
          <w:trHeight w:val="150"/>
          <w:jc w:val="center"/>
        </w:trPr>
        <w:tc>
          <w:tcPr>
            <w:tcW w:w="15966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b/>
                <w:spacing w:val="-1"/>
                <w:sz w:val="18"/>
                <w:szCs w:val="18"/>
              </w:rPr>
              <w:t xml:space="preserve">     Приоритет 4 „Развитие на обща териториална идентичност и общ териториален имидж на рибарска територия „Крайморска Добруджа“”</w:t>
            </w:r>
          </w:p>
        </w:tc>
      </w:tr>
      <w:tr w:rsidR="002E5CFE" w:rsidRPr="002E5CFE" w:rsidTr="00604B48">
        <w:trPr>
          <w:gridAfter w:val="1"/>
          <w:wAfter w:w="101" w:type="dxa"/>
          <w:trHeight w:val="138"/>
          <w:jc w:val="center"/>
        </w:trPr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50" w:right="13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4.1 „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Промотиране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на идентичността на рибарска територия „Крайморска Добруджа““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Очакван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принос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към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целите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стратегията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подхода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ВОМР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съгласно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ПМДРА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-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Дейност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№5 е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планирана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осигури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принос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изпълнение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:</w:t>
            </w:r>
          </w:p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Стратегическа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№1: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Подобряване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условията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диверсификация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развитие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„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Крайморска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Добруджа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ПРИОРИТЕТ № 4: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Развитие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териториална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идентичност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териториален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имидж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„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Крайморска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Добруджа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Специфична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№4.1.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Промотиране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идентичността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„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Крайморска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Добруджа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“</w:t>
            </w:r>
          </w:p>
          <w:p w:rsidR="002E5CFE" w:rsidRPr="002E5CFE" w:rsidRDefault="002E5CFE" w:rsidP="002E5CFE">
            <w:pPr>
              <w:spacing w:before="60" w:after="60" w:line="240" w:lineRule="auto"/>
              <w:ind w:left="93" w:right="33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Специфична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цел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№4.2.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валоризиране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специфичната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черноморския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отглеждането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марикултури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крайбрежен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черноморски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туризъм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87" w:right="26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235 197,87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86" w:right="18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Юридически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лица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регистрирани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ЗЮЛНЦ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Закона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народните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читалища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/ЗНЧ/;</w:t>
            </w:r>
          </w:p>
          <w:p w:rsidR="002E5CFE" w:rsidRPr="002E5CFE" w:rsidRDefault="002E5CFE" w:rsidP="002E5CFE">
            <w:pPr>
              <w:spacing w:before="60" w:after="60" w:line="240" w:lineRule="auto"/>
              <w:ind w:left="86" w:right="18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Общини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Балчик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Каварна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Шабла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Подготовка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провеждане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регионални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културно-историческо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подводното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такова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посредством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възстановки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ритуали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приготвяне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дегустация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кухня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концерти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временни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постоянни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изложби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експозиции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празници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–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панаири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Проучвания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връзка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идентификация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съхраняване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дигитализиране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елементи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нематериалното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историческо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-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документиране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изработване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информационни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печатни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издания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смарт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приложения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филми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фотографски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материали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пътеводители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географски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карти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етнографски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сбирки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носии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вещи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бита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инструменти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пособия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характерни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Проучвания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запазване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кухня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характерни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gram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и 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proofErr w:type="gram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Създаване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подкрепа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клубове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работилници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групи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интереси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различни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поколения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проучване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изучаване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съхранение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–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бит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история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ритуали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кулинария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демонстрационни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арт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събития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инициативи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представящи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културно-историческо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рибарската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територията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Участие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изложби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. </w:t>
            </w:r>
            <w:proofErr w:type="spellStart"/>
            <w:proofErr w:type="gram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proofErr w:type="gram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представяне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елементи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нематериално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-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фолклор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Планиране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изграждане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обща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рибарската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територия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информационна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инфраструктура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–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инфо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точки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указателни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табели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маршрути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Дигитализация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природно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историческо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традиционния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Услуги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в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областта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креативните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рекреативните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индустрии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творчески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индустрии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традиционния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Популяризиране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културно-историческо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включително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подводното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такова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свързано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риболова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устойчивата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синя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икономика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посредством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възстановки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ритуали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приготвяне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дегустация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кухня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концерти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временни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постоянни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изложби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експозиции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организиране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празници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–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панаири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.;</w:t>
            </w:r>
          </w:p>
          <w:p w:rsidR="002E5CFE" w:rsidRPr="002E5CFE" w:rsidRDefault="002E5CFE" w:rsidP="002E5CFE">
            <w:pPr>
              <w:spacing w:before="60" w:after="60" w:line="240" w:lineRule="auto"/>
              <w:ind w:left="60" w:right="40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Участие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във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фестивали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събори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изложби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. </w:t>
            </w:r>
            <w:proofErr w:type="spellStart"/>
            <w:proofErr w:type="gram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за</w:t>
            </w:r>
            <w:proofErr w:type="spellEnd"/>
            <w:proofErr w:type="gram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представяне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елементи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местното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нематериално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културно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наследство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-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местни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обичаи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традиции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фолклор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др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1. Строително-монтажни работи (включително разходи за независим строителен и авторски надзор и инвеститорски контрол);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2. Закупуване и инсталиране на нови машини и оборудване (вкл. компютърно, за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видеонаблюдение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 или други системи за сигурност), съоръжения и други, пряко свързани с предвидената инвестиция, включително разходи, включени в продажната цена за осъществяване на доставка, инсталиране, изпитване и въвеждане в експлоатация на оборудването/машините/съоръженията и обучение за експлоатацията им. Изграждане на системи за дигитализация, управление и съхраняване на информация;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3. Разходи за проучвания и изследвания, както и разработване на стратегии, планове, програми, стратегически/аналитични и други документи;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4. Разходи, свързани с организирането на обучения, семинари, съвместни събития, срещи и т.н.;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5. Разходи за обучения и повишаване на професионалната квалификация;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6. Разходи, свързани с реализирането на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промоционални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 и маркетингови кампании;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7. Разходи, свързани със срещи с потенциални партньори и мрежи (напр. пътни разходи,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разходи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 за нощувки и храна, хонорари за експерти, хонорари на преводачи, разходи за комуникация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8. Разходи за представяне във всякаква форма на културно-историческото, природното, морското наследство и „Син растеж“ на територията на рибарската област;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9. Разходи насочени към запазване, поддържане и подобряване на околната среда, културно-историческото, природното и морското наследство, вкл.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дигитализиране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10. Разходи, свързани с популяризиране, съхраняване, реставрация и социализация на културното, историческото и морското наследство;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11. Разходи за екологични, образователни и културни инициативи и дейности;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12. Разходи за наука и/или изследвания относно сектор „Рибарство и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аквакултури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“ и/или опазване на околната среда;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13. Разходи за информация и комуникация;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14. Закупуване на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ноу-хау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, патентни права и лицензи, необходими за изготвяне и изпълнение на проекта;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15. Разходи за консултантски услуги, свързани с подготовката на проекта, предварителни проучвания, оценки и анализи, изготвяне на технически/работен проект и др.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 xml:space="preserve">16. Разходи за организиране на спортни и културни събития, включително и международни: честване на празници, регати, риболовни състезания, концерти, пленери, фестивали и пр. с цел популяризиране на региона, рибарството и туризма (услуги, хонорари, материали, </w:t>
            </w:r>
            <w:proofErr w:type="spellStart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кетъринг</w:t>
            </w:r>
            <w:proofErr w:type="spellEnd"/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, преводачески услуги, реклама, маркетинг и др.);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17. Разходи за организиране на посещения и участие на специализирани борси за туризъм за представяне на местен туристически продукт и осъществяване на нови професионални контакти. (услуги и командировки);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18. Закупуване на специализирани транспортни и плавателни средства;</w:t>
            </w:r>
          </w:p>
          <w:p w:rsidR="002E5CFE" w:rsidRPr="002E5CFE" w:rsidRDefault="002E5CFE" w:rsidP="002E5CFE">
            <w:pPr>
              <w:spacing w:before="60" w:after="60" w:line="240" w:lineRule="auto"/>
              <w:ind w:left="24" w:right="57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iCs/>
                <w:sz w:val="14"/>
                <w:szCs w:val="14"/>
              </w:rPr>
              <w:t>19. Разходи за организиране на срещи на територията на МИРГ (настаняване, изхранване на гостите, услуги);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Интензитет на помощта за всички операции в рамките на всяка една дейност в тази стратегия е според изискванията на според член 41, ал. 2 от РЕГЛАМЕНТ (ЕС) 2021/1139 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1. максимален интензитет на помощта е в размер на 90 % от общите допустими разходи за операцията.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2. Чрез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дерогация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 от параграф 1 максималните специални ставки на интензитета на помощта са определени в приложение III към РЕГЛАМЕНТ (ЕС) 2021/1139: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Ред № 13 Операции, подкрепяни съгласно член 30 и отговарящи на най-малко един от следните критерии - 90 %: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iii)са от колективен интерес;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 xml:space="preserve">ii)имат колективен </w:t>
            </w:r>
            <w:proofErr w:type="spellStart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бенефициер</w:t>
            </w:r>
            <w:proofErr w:type="spellEnd"/>
            <w:r w:rsidRPr="002E5CFE">
              <w:rPr>
                <w:rFonts w:ascii="Arial" w:eastAsia="Times New Roman" w:hAnsi="Arial" w:cs="Arial"/>
                <w:sz w:val="14"/>
                <w:szCs w:val="14"/>
              </w:rPr>
              <w:t>; или</w:t>
            </w:r>
          </w:p>
          <w:p w:rsidR="002E5CFE" w:rsidRPr="002E5CFE" w:rsidRDefault="002E5CFE" w:rsidP="002E5CFE">
            <w:pPr>
              <w:spacing w:before="60" w:after="6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iii)имат новаторски характеристики, когато е целесъобразно, на местно равнище, и осигуряват публичен достъп до своите резултати.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8" w:rsidRPr="00604B48" w:rsidRDefault="00604B48" w:rsidP="00604B4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04B48">
              <w:rPr>
                <w:rFonts w:ascii="Arial" w:eastAsia="Times New Roman" w:hAnsi="Arial" w:cs="Arial"/>
                <w:sz w:val="14"/>
                <w:szCs w:val="14"/>
              </w:rPr>
              <w:t>3-то и 4-то</w:t>
            </w:r>
          </w:p>
          <w:p w:rsidR="002E5CFE" w:rsidRPr="002E5CFE" w:rsidRDefault="00604B48" w:rsidP="00604B4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04B48">
              <w:rPr>
                <w:rFonts w:ascii="Arial" w:eastAsia="Times New Roman" w:hAnsi="Arial" w:cs="Arial"/>
                <w:sz w:val="14"/>
                <w:szCs w:val="14"/>
              </w:rPr>
              <w:t>тримесечие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8" w:rsidRPr="00604B48" w:rsidRDefault="00604B48" w:rsidP="00604B48">
            <w:pPr>
              <w:spacing w:before="60" w:after="60" w:line="240" w:lineRule="auto"/>
              <w:ind w:left="76" w:right="43"/>
              <w:rPr>
                <w:rFonts w:ascii="Arial" w:eastAsia="Times New Roman" w:hAnsi="Arial" w:cs="Arial"/>
                <w:sz w:val="14"/>
                <w:szCs w:val="14"/>
              </w:rPr>
            </w:pPr>
            <w:r w:rsidRPr="00604B48">
              <w:rPr>
                <w:rFonts w:ascii="Arial" w:eastAsia="Times New Roman" w:hAnsi="Arial" w:cs="Arial"/>
                <w:sz w:val="14"/>
                <w:szCs w:val="14"/>
              </w:rPr>
              <w:t>90 дни от датата на обявяване на процедурата</w:t>
            </w:r>
          </w:p>
          <w:p w:rsidR="002E5CFE" w:rsidRPr="002E5CFE" w:rsidRDefault="002E5CFE" w:rsidP="002E5CFE">
            <w:pPr>
              <w:spacing w:before="60" w:after="60" w:line="240" w:lineRule="auto"/>
              <w:ind w:left="76" w:right="43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не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highlight w:val="yellow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10 255,99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CFE" w:rsidRPr="002E5CFE" w:rsidRDefault="002E5CFE" w:rsidP="002E5CF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E5CFE">
              <w:rPr>
                <w:rFonts w:ascii="Arial" w:eastAsia="Times New Roman" w:hAnsi="Arial" w:cs="Arial"/>
                <w:sz w:val="14"/>
                <w:szCs w:val="14"/>
              </w:rPr>
              <w:t>51 129,97</w:t>
            </w:r>
          </w:p>
        </w:tc>
      </w:tr>
    </w:tbl>
    <w:p w:rsidR="002E5CFE" w:rsidRPr="002E5CFE" w:rsidRDefault="002E5CFE" w:rsidP="002E5CFE">
      <w:pPr>
        <w:spacing w:before="120" w:after="120" w:line="240" w:lineRule="auto"/>
        <w:ind w:left="388" w:right="455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9"/>
          <w:sz w:val="14"/>
          <w:szCs w:val="14"/>
        </w:rPr>
        <w:t xml:space="preserve">1 </w:t>
      </w:r>
      <w:r w:rsidRPr="002E5CFE">
        <w:rPr>
          <w:rFonts w:ascii="Arial" w:eastAsia="Times New Roman" w:hAnsi="Arial" w:cs="Arial"/>
          <w:sz w:val="14"/>
          <w:szCs w:val="14"/>
        </w:rPr>
        <w:t xml:space="preserve">Индикативната годишна работна програма се изготвя в съответствие с чл. 26, ал. 1 от Постановление №23 на Министерския съвет от 13.02.2023 г. за определяне на детайлни правила за предоставяне на безвъзмездна финансова помощ по програмите, финансирани </w:t>
      </w:r>
      <w:proofErr w:type="spellStart"/>
      <w:r w:rsidRPr="002E5CFE">
        <w:rPr>
          <w:rFonts w:ascii="Arial" w:eastAsia="Times New Roman" w:hAnsi="Arial" w:cs="Arial"/>
          <w:sz w:val="14"/>
          <w:szCs w:val="14"/>
        </w:rPr>
        <w:t>отфинансирани</w:t>
      </w:r>
      <w:proofErr w:type="spellEnd"/>
      <w:r w:rsidRPr="002E5CFE">
        <w:rPr>
          <w:rFonts w:ascii="Arial" w:eastAsia="Times New Roman" w:hAnsi="Arial" w:cs="Arial"/>
          <w:sz w:val="14"/>
          <w:szCs w:val="14"/>
        </w:rPr>
        <w:t xml:space="preserve"> от Европейските фондове при споделено управление за програмен период 2021 – 2027 г..</w:t>
      </w:r>
    </w:p>
    <w:p w:rsidR="002E5CFE" w:rsidRPr="002E5CFE" w:rsidRDefault="002E5CFE" w:rsidP="002E5CFE">
      <w:pPr>
        <w:spacing w:before="120" w:after="120" w:line="240" w:lineRule="auto"/>
        <w:ind w:left="388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noProof/>
          <w:sz w:val="14"/>
          <w:szCs w:val="14"/>
          <w:lang w:eastAsia="bg-BG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B8D7E08" wp14:editId="4E28B8E5">
                <wp:simplePos x="0" y="0"/>
                <wp:positionH relativeFrom="page">
                  <wp:posOffset>449580</wp:posOffset>
                </wp:positionH>
                <wp:positionV relativeFrom="paragraph">
                  <wp:posOffset>-352425</wp:posOffset>
                </wp:positionV>
                <wp:extent cx="1827530" cy="0"/>
                <wp:effectExtent l="11430" t="7620" r="8890" b="1143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7530" cy="0"/>
                          <a:chOff x="708" y="-555"/>
                          <a:chExt cx="2878" cy="0"/>
                        </a:xfrm>
                      </wpg:grpSpPr>
                      <wps:wsp>
                        <wps:cNvPr id="26" name="Freeform 5"/>
                        <wps:cNvSpPr>
                          <a:spLocks/>
                        </wps:cNvSpPr>
                        <wps:spPr bwMode="auto">
                          <a:xfrm>
                            <a:off x="708" y="-555"/>
                            <a:ext cx="2878" cy="0"/>
                          </a:xfrm>
                          <a:custGeom>
                            <a:avLst/>
                            <a:gdLst>
                              <a:gd name="T0" fmla="+- 0 708 708"/>
                              <a:gd name="T1" fmla="*/ T0 w 2878"/>
                              <a:gd name="T2" fmla="+- 0 3586 708"/>
                              <a:gd name="T3" fmla="*/ T2 w 28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78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35.4pt;margin-top:-27.75pt;width:143.9pt;height:0;z-index:-251657216;mso-position-horizontal-relative:page" coordorigin="708,-555" coordsize="2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">
                <v:shape id="Freeform 5" o:spid="_x0000_s1027" style="position:absolute;left:708;top:-555;width:2878;height:0;visibility:visible;mso-wrap-style:square;v-text-anchor:top" coordsize="28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b6RsMA&#10;AADbAAAADwAAAGRycy9kb3ducmV2LnhtbESPQWvCQBSE70L/w/KE3nSjqG2jqxTB6kmoSqG3Z/aZ&#10;BLNvQ/ap6b/vCoLHYWa+YWaL1lXqSk0oPRsY9BNQxJm3JecGDvtV7x1UEGSLlWcy8EcBFvOXzgxT&#10;62/8Tded5CpCOKRooBCpU61DVpDD0Pc1cfROvnEoUTa5tg3eItxVepgkE+2w5LhQYE3LgrLz7uIM&#10;fK3lmP/6t7H+GITVz0gu23O7Nea1235OQQm18gw/2htrYDiB+5f4A/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b6RsMAAADbAAAADwAAAAAAAAAAAAAAAACYAgAAZHJzL2Rv&#10;d25yZXYueG1sUEsFBgAAAAAEAAQA9QAAAIgDAAAAAA==&#10;" path="m,l2878,e" filled="f" strokeweight=".58pt">
                  <v:path arrowok="t" o:connecttype="custom" o:connectlocs="0,0;2878,0" o:connectangles="0,0"/>
                </v:shape>
                <w10:wrap anchorx="page"/>
              </v:group>
            </w:pict>
          </mc:Fallback>
        </mc:AlternateContent>
      </w:r>
      <w:r w:rsidRPr="002E5CFE">
        <w:rPr>
          <w:rFonts w:ascii="Arial" w:eastAsia="Times New Roman" w:hAnsi="Arial" w:cs="Arial"/>
          <w:position w:val="8"/>
          <w:sz w:val="14"/>
          <w:szCs w:val="14"/>
        </w:rPr>
        <w:t xml:space="preserve">2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Б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з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в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ъ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з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ме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з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дна</w:t>
      </w:r>
      <w:r w:rsidRPr="002E5CFE">
        <w:rPr>
          <w:rFonts w:ascii="Arial" w:eastAsia="Times New Roman" w:hAnsi="Arial" w:cs="Arial"/>
          <w:spacing w:val="-10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ф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в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8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п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м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2"/>
          <w:position w:val="-1"/>
          <w:sz w:val="14"/>
          <w:szCs w:val="14"/>
        </w:rPr>
        <w:t>щ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.</w:t>
      </w:r>
    </w:p>
    <w:p w:rsidR="002E5CFE" w:rsidRPr="002E5CFE" w:rsidRDefault="002E5CFE" w:rsidP="002E5CFE">
      <w:pPr>
        <w:spacing w:before="120" w:after="120" w:line="240" w:lineRule="auto"/>
        <w:ind w:left="388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8"/>
          <w:sz w:val="14"/>
          <w:szCs w:val="14"/>
        </w:rPr>
        <w:t>3</w:t>
      </w:r>
      <w:r w:rsidRPr="002E5CFE">
        <w:rPr>
          <w:rFonts w:ascii="Arial" w:eastAsia="Times New Roman" w:hAnsi="Arial" w:cs="Arial"/>
          <w:spacing w:val="17"/>
          <w:position w:val="8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т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б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ел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яз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в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8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„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д</w:t>
      </w:r>
      <w:r w:rsidRPr="002E5CFE">
        <w:rPr>
          <w:rFonts w:ascii="Arial" w:eastAsia="Times New Roman" w:hAnsi="Arial" w:cs="Arial"/>
          <w:spacing w:val="2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“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л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„</w:t>
      </w:r>
      <w:r w:rsidRPr="002E5CFE">
        <w:rPr>
          <w:rFonts w:ascii="Arial" w:eastAsia="Times New Roman" w:hAnsi="Arial" w:cs="Arial"/>
          <w:spacing w:val="2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“.</w:t>
      </w:r>
    </w:p>
    <w:p w:rsidR="002E5CFE" w:rsidRPr="002E5CFE" w:rsidRDefault="002E5CFE" w:rsidP="002E5CFE">
      <w:pPr>
        <w:spacing w:before="120" w:after="120" w:line="240" w:lineRule="auto"/>
        <w:ind w:left="388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8"/>
          <w:sz w:val="14"/>
          <w:szCs w:val="14"/>
        </w:rPr>
        <w:t>4</w:t>
      </w:r>
      <w:r w:rsidRPr="002E5CFE">
        <w:rPr>
          <w:rFonts w:ascii="Arial" w:eastAsia="Times New Roman" w:hAnsi="Arial" w:cs="Arial"/>
          <w:spacing w:val="17"/>
          <w:position w:val="8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т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б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ел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яз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в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8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„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д</w:t>
      </w:r>
      <w:r w:rsidRPr="002E5CFE">
        <w:rPr>
          <w:rFonts w:ascii="Arial" w:eastAsia="Times New Roman" w:hAnsi="Arial" w:cs="Arial"/>
          <w:spacing w:val="2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“,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„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“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л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„</w:t>
      </w:r>
      <w:r w:rsidRPr="002E5CFE">
        <w:rPr>
          <w:rFonts w:ascii="Arial" w:eastAsia="Times New Roman" w:hAnsi="Arial" w:cs="Arial"/>
          <w:spacing w:val="2"/>
          <w:position w:val="-1"/>
          <w:sz w:val="14"/>
          <w:szCs w:val="14"/>
        </w:rPr>
        <w:t>п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р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д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то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8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да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бъде</w:t>
      </w:r>
      <w:r w:rsidRPr="002E5CFE">
        <w:rPr>
          <w:rFonts w:ascii="Arial" w:eastAsia="Times New Roman" w:hAnsi="Arial" w:cs="Arial"/>
          <w:spacing w:val="-4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>у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точ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о“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.</w:t>
      </w:r>
    </w:p>
    <w:p w:rsidR="002E5CFE" w:rsidRPr="002E5CFE" w:rsidRDefault="002E5CFE" w:rsidP="002E5CFE">
      <w:pPr>
        <w:spacing w:before="120" w:after="120" w:line="240" w:lineRule="auto"/>
        <w:ind w:left="388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8"/>
          <w:sz w:val="14"/>
          <w:szCs w:val="14"/>
        </w:rPr>
        <w:t>5</w:t>
      </w:r>
      <w:r w:rsidRPr="002E5CFE">
        <w:rPr>
          <w:rFonts w:ascii="Arial" w:eastAsia="Times New Roman" w:hAnsi="Arial" w:cs="Arial"/>
          <w:spacing w:val="17"/>
          <w:position w:val="8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к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п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р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л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жи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м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.</w:t>
      </w:r>
    </w:p>
    <w:p w:rsidR="002E5CFE" w:rsidRPr="002E5CFE" w:rsidRDefault="002E5CFE" w:rsidP="002E5CFE">
      <w:pPr>
        <w:spacing w:before="120" w:after="120" w:line="240" w:lineRule="auto"/>
        <w:ind w:left="388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7"/>
          <w:sz w:val="14"/>
          <w:szCs w:val="14"/>
        </w:rPr>
        <w:t>6</w:t>
      </w:r>
      <w:r w:rsidRPr="002E5CFE">
        <w:rPr>
          <w:rFonts w:ascii="Arial" w:eastAsia="Times New Roman" w:hAnsi="Arial" w:cs="Arial"/>
          <w:spacing w:val="15"/>
          <w:position w:val="7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 xml:space="preserve">По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см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ъ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л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6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на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ч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л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.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10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7</w:t>
      </w:r>
      <w:r w:rsidRPr="002E5CFE">
        <w:rPr>
          <w:rFonts w:ascii="Arial" w:eastAsia="Times New Roman" w:hAnsi="Arial" w:cs="Arial"/>
          <w:spacing w:val="-4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т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>Д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ог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ов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ор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7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з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ф</w:t>
      </w:r>
      <w:r w:rsidRPr="002E5CFE">
        <w:rPr>
          <w:rFonts w:ascii="Arial" w:eastAsia="Times New Roman" w:hAnsi="Arial" w:cs="Arial"/>
          <w:spacing w:val="-3"/>
          <w:position w:val="-1"/>
          <w:sz w:val="14"/>
          <w:szCs w:val="14"/>
        </w:rPr>
        <w:t>у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к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ци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ни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р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а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т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о</w:t>
      </w:r>
      <w:r w:rsidRPr="002E5CFE">
        <w:rPr>
          <w:rFonts w:ascii="Arial" w:eastAsia="Times New Roman" w:hAnsi="Arial" w:cs="Arial"/>
          <w:spacing w:val="-1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на</w:t>
      </w:r>
      <w:r w:rsidRPr="002E5CFE">
        <w:rPr>
          <w:rFonts w:ascii="Arial" w:eastAsia="Times New Roman" w:hAnsi="Arial" w:cs="Arial"/>
          <w:spacing w:val="-2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spacing w:val="1"/>
          <w:position w:val="-1"/>
          <w:sz w:val="14"/>
          <w:szCs w:val="14"/>
        </w:rPr>
        <w:t>вро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п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е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й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ск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ия</w:t>
      </w:r>
      <w:r w:rsidRPr="002E5CFE">
        <w:rPr>
          <w:rFonts w:ascii="Arial" w:eastAsia="Times New Roman" w:hAnsi="Arial" w:cs="Arial"/>
          <w:spacing w:val="-8"/>
          <w:position w:val="-1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pacing w:val="-1"/>
          <w:position w:val="-1"/>
          <w:sz w:val="14"/>
          <w:szCs w:val="14"/>
        </w:rPr>
        <w:t>с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ъю</w:t>
      </w:r>
      <w:r w:rsidRPr="002E5CFE">
        <w:rPr>
          <w:rFonts w:ascii="Arial" w:eastAsia="Times New Roman" w:hAnsi="Arial" w:cs="Arial"/>
          <w:spacing w:val="3"/>
          <w:position w:val="-1"/>
          <w:sz w:val="14"/>
          <w:szCs w:val="14"/>
        </w:rPr>
        <w:t>з</w:t>
      </w:r>
      <w:r w:rsidRPr="002E5CFE">
        <w:rPr>
          <w:rFonts w:ascii="Arial" w:eastAsia="Times New Roman" w:hAnsi="Arial" w:cs="Arial"/>
          <w:position w:val="-1"/>
          <w:sz w:val="14"/>
          <w:szCs w:val="14"/>
        </w:rPr>
        <w:t>.</w:t>
      </w:r>
    </w:p>
    <w:p w:rsidR="002E5CFE" w:rsidRPr="002E5CFE" w:rsidRDefault="002E5CFE" w:rsidP="002E5CFE">
      <w:pPr>
        <w:tabs>
          <w:tab w:val="left" w:pos="1134"/>
        </w:tabs>
        <w:spacing w:before="120" w:after="120" w:line="240" w:lineRule="auto"/>
        <w:ind w:left="406"/>
        <w:rPr>
          <w:rFonts w:ascii="Arial" w:eastAsia="Times New Roman" w:hAnsi="Arial" w:cs="Arial"/>
          <w:sz w:val="14"/>
          <w:szCs w:val="14"/>
        </w:rPr>
      </w:pPr>
      <w:r w:rsidRPr="002E5CFE">
        <w:rPr>
          <w:rFonts w:ascii="Arial" w:eastAsia="Times New Roman" w:hAnsi="Arial" w:cs="Arial"/>
          <w:position w:val="8"/>
          <w:sz w:val="14"/>
          <w:szCs w:val="14"/>
        </w:rPr>
        <w:t>7</w:t>
      </w:r>
      <w:r w:rsidRPr="002E5CFE">
        <w:rPr>
          <w:rFonts w:ascii="Arial" w:eastAsia="Times New Roman" w:hAnsi="Arial" w:cs="Arial"/>
          <w:spacing w:val="19"/>
          <w:position w:val="8"/>
          <w:sz w:val="14"/>
          <w:szCs w:val="14"/>
        </w:rPr>
        <w:t xml:space="preserve"> </w:t>
      </w:r>
      <w:r w:rsidRPr="002E5CFE">
        <w:rPr>
          <w:rFonts w:ascii="Arial" w:eastAsia="Times New Roman" w:hAnsi="Arial" w:cs="Arial"/>
          <w:sz w:val="14"/>
          <w:szCs w:val="14"/>
        </w:rPr>
        <w:t xml:space="preserve">По смисъла на Регламент (ЕС) №  717/2014 на Комисията от 27.06.2014 г. относно прилагането на членове 107 и 108 от Договора за функционирането на Европейския съюз към помощта </w:t>
      </w:r>
      <w:proofErr w:type="spellStart"/>
      <w:r w:rsidRPr="002E5CFE">
        <w:rPr>
          <w:rFonts w:ascii="Arial" w:eastAsia="Times New Roman" w:hAnsi="Arial" w:cs="Arial"/>
          <w:sz w:val="14"/>
          <w:szCs w:val="14"/>
        </w:rPr>
        <w:t>de</w:t>
      </w:r>
      <w:proofErr w:type="spellEnd"/>
      <w:r w:rsidRPr="002E5CFE">
        <w:rPr>
          <w:rFonts w:ascii="Arial" w:eastAsia="Times New Roman" w:hAnsi="Arial" w:cs="Arial"/>
          <w:sz w:val="14"/>
          <w:szCs w:val="14"/>
        </w:rPr>
        <w:t xml:space="preserve"> </w:t>
      </w:r>
      <w:proofErr w:type="spellStart"/>
      <w:r w:rsidRPr="002E5CFE">
        <w:rPr>
          <w:rFonts w:ascii="Arial" w:eastAsia="Times New Roman" w:hAnsi="Arial" w:cs="Arial"/>
          <w:sz w:val="14"/>
          <w:szCs w:val="14"/>
        </w:rPr>
        <w:t>minimis</w:t>
      </w:r>
      <w:proofErr w:type="spellEnd"/>
      <w:r w:rsidRPr="002E5CFE">
        <w:rPr>
          <w:rFonts w:ascii="Arial" w:eastAsia="Times New Roman" w:hAnsi="Arial" w:cs="Arial"/>
          <w:sz w:val="14"/>
          <w:szCs w:val="14"/>
        </w:rPr>
        <w:t xml:space="preserve"> в сектора на рибарството и </w:t>
      </w:r>
      <w:proofErr w:type="spellStart"/>
      <w:r w:rsidRPr="002E5CFE">
        <w:rPr>
          <w:rFonts w:ascii="Arial" w:eastAsia="Times New Roman" w:hAnsi="Arial" w:cs="Arial"/>
          <w:sz w:val="14"/>
          <w:szCs w:val="14"/>
        </w:rPr>
        <w:t>аквакултурите</w:t>
      </w:r>
      <w:proofErr w:type="spellEnd"/>
      <w:r w:rsidRPr="002E5CFE">
        <w:rPr>
          <w:rFonts w:ascii="Arial" w:eastAsia="Times New Roman" w:hAnsi="Arial" w:cs="Arial"/>
          <w:sz w:val="14"/>
          <w:szCs w:val="14"/>
        </w:rPr>
        <w:t xml:space="preserve"> (ОВ, L 190 от 28.06.2014 г.).</w:t>
      </w:r>
    </w:p>
    <w:p w:rsidR="002E5CFE" w:rsidRDefault="002E5CFE"/>
    <w:sectPr w:rsidR="002E5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FE"/>
    <w:rsid w:val="002E5CFE"/>
    <w:rsid w:val="00455DE3"/>
    <w:rsid w:val="00604B48"/>
    <w:rsid w:val="007E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7975</Words>
  <Characters>45464</Characters>
  <Application>Microsoft Office Word</Application>
  <DocSecurity>0</DocSecurity>
  <Lines>378</Lines>
  <Paragraphs>106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flag</dc:creator>
  <cp:keywords/>
  <dc:description/>
  <cp:lastModifiedBy>flag</cp:lastModifiedBy>
  <cp:revision>3</cp:revision>
  <dcterms:created xsi:type="dcterms:W3CDTF">2026-02-23T18:19:00Z</dcterms:created>
  <dcterms:modified xsi:type="dcterms:W3CDTF">2026-02-24T07:38:00Z</dcterms:modified>
</cp:coreProperties>
</file>