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</w:p>
    <w:p w:rsidR="002E5CFE" w:rsidRP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 w:rsidRPr="002E5CFE">
        <w:rPr>
          <w:rFonts w:ascii="Arial" w:eastAsia="Times New Roman" w:hAnsi="Arial" w:cs="Arial"/>
          <w:b/>
          <w:position w:val="-1"/>
        </w:rPr>
        <w:t>И Н Д И К А Т И В Н А</w:t>
      </w:r>
      <w:r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Pr="002E5CFE">
        <w:rPr>
          <w:rFonts w:ascii="Arial" w:eastAsia="Times New Roman" w:hAnsi="Arial" w:cs="Arial"/>
          <w:b/>
          <w:position w:val="-1"/>
        </w:rPr>
        <w:t xml:space="preserve"> Г О Д И Ш Н А </w:t>
      </w:r>
      <w:r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Pr="002E5CFE">
        <w:rPr>
          <w:rFonts w:ascii="Arial" w:eastAsia="Times New Roman" w:hAnsi="Arial" w:cs="Arial"/>
          <w:b/>
          <w:position w:val="-1"/>
        </w:rPr>
        <w:t xml:space="preserve">Р А Б О Т Н А </w:t>
      </w:r>
      <w:r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Pr="002E5CFE">
        <w:rPr>
          <w:rFonts w:ascii="Arial" w:eastAsia="Times New Roman" w:hAnsi="Arial" w:cs="Arial"/>
          <w:b/>
          <w:position w:val="-1"/>
        </w:rPr>
        <w:t>П Р О Г Р А М А</w:t>
      </w:r>
      <w:r w:rsidRPr="002E5CFE">
        <w:rPr>
          <w:rFonts w:ascii="Arial" w:eastAsia="Times New Roman" w:hAnsi="Arial" w:cs="Arial"/>
          <w:b/>
          <w:position w:val="-1"/>
          <w:vertAlign w:val="superscript"/>
        </w:rPr>
        <w:t>1</w:t>
      </w:r>
    </w:p>
    <w:p w:rsidR="00455DE3" w:rsidRP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 w:rsidRPr="002E5CFE">
        <w:rPr>
          <w:rFonts w:ascii="Arial" w:eastAsia="Times New Roman" w:hAnsi="Arial" w:cs="Arial"/>
          <w:b/>
          <w:position w:val="-1"/>
        </w:rPr>
        <w:t>МЕСТНА ИНИЦИАТИВНА РИБАРСКА ГРУПА (МИРГ) ШАБЛА – КАВАРНА – БАЛЧИК  2026 ГОДИНА</w:t>
      </w:r>
    </w:p>
    <w:tbl>
      <w:tblPr>
        <w:tblW w:w="16067" w:type="dxa"/>
        <w:jc w:val="center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1463"/>
        <w:gridCol w:w="1581"/>
        <w:gridCol w:w="831"/>
        <w:gridCol w:w="12"/>
        <w:gridCol w:w="50"/>
        <w:gridCol w:w="10"/>
        <w:gridCol w:w="1094"/>
        <w:gridCol w:w="1769"/>
        <w:gridCol w:w="6"/>
        <w:gridCol w:w="2790"/>
        <w:gridCol w:w="1168"/>
        <w:gridCol w:w="814"/>
        <w:gridCol w:w="1006"/>
        <w:gridCol w:w="9"/>
        <w:gridCol w:w="703"/>
        <w:gridCol w:w="9"/>
        <w:gridCol w:w="232"/>
        <w:gridCol w:w="560"/>
        <w:gridCol w:w="7"/>
        <w:gridCol w:w="814"/>
        <w:gridCol w:w="776"/>
        <w:gridCol w:w="101"/>
      </w:tblGrid>
      <w:tr w:rsidR="002E5CFE" w:rsidRPr="002E5CFE" w:rsidTr="002E5CFE">
        <w:trPr>
          <w:trHeight w:val="863"/>
          <w:jc w:val="center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№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 ред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Це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та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2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щ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ер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39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йн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г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х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 %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proofErr w:type="spellStart"/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съ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явя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к за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Предс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ява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а/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ст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4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)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5</w:t>
            </w:r>
          </w:p>
        </w:tc>
      </w:tr>
      <w:tr w:rsidR="002E5CFE" w:rsidRPr="002E5CFE" w:rsidTr="002E5CFE">
        <w:trPr>
          <w:trHeight w:val="656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дър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вна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</w:p>
        </w:tc>
      </w:tr>
      <w:tr w:rsidR="002E5CFE" w:rsidRPr="002E5CFE" w:rsidTr="002E5CFE">
        <w:trPr>
          <w:trHeight w:hRule="exact" w:val="508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„Стимулиране развитието на рибностопански дейности, които допринасят за екологична, социална и икономическа устойчивост на рибарските общности ”</w:t>
            </w:r>
          </w:p>
        </w:tc>
      </w:tr>
      <w:tr w:rsidR="002E5CFE" w:rsidRPr="002E5CFE" w:rsidTr="002E5CFE">
        <w:trPr>
          <w:trHeight w:val="11069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1.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1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.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Улов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, отглеждане, преработка и продажба на продукти от риболов и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аквакултури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 дейности за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Основни потребности/нужди, към която е адресирана дейността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Необходимост от устойчивост на рибарските общности, устойчиво развитие на крайбрежния риболов,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мaрикултури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 и синя икономика, и диверсификация на икономиката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№1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ПРИОРИТЕТ № 1: Стимулиране развитието на рибностопански дейности, които допринасят за екологична, социална и икономическа устойчивост на рибарските общности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Специфична цел 1.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. Подпомагане на устойчиви дейности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 и други водни организми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1.2. Подпомагане на устойчиви дейности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1.3. Подпомагане на устойчиви дейности в преработката и продажбата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диверсификацията на синята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558 262,60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Физически или юридически лица, регистрирани по Търговския закон или Закона за кооперациите</w:t>
            </w:r>
          </w:p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подходи, осигуряващи намаляване въздействието върху околната среда на риболова като използване на селективни уреди и способи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намаляващи нежелания при/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използването на цифрови инструменти за подобряване събирането на данни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Диверсифицирането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в рибарските територии чрез развиване на допълващи дейности към него като риболовен туризъм, ресторантьорство, търговски дейности, образователни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достъп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до знания, сътрудничество и финансиране, необходими за предприемането на новаторски дейности и разработването на нови продукти - например съвместно с изследователски организации и институции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Професионално обучение в риболовния сектор с цел неговото модернизиране, подобряване на ефективността и развитие на отговорен риболов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Обучение за придобиване на цифрови умения, насочени към е-управлението, и по-специално към търговията, като инструмент за подобряване на позицията на производителите във веригата за създаване на стойност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за сдружаване, организиране и сътрудничество в сферата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с цел създаване на механизми за подобряване на цената при първа продажба и по справедливото и подходящо разпределение на добавената стойност по веригата на стойността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Насърчаване на социално-икономическото сътрудничество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за разработване на регионални продукти, услуги и изследвания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дейностите и доходите в или извън рибарството, подпомагащи създаването на работни места в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(напр. туристически дейности, вкл.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pesca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търговия, развитие на нови бизнеси извън сектора на рибарството, рециклиране, продукти или услуги, разработени извън рибарството,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иновации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преработката на ниво стопанство, предприятие или територия, които водят до: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-нови или подобрени продукти, процеси, технологии, услуги за подобряване на веригата на доставки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 за директни продажби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производствените процеси и преработката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-намаляване въздействието върху околната среда на риболова и производствените процеси с въвеждащи елементи на кръгова икономика (напр. чрез събиране и рециклиране на изгубени риболовни уреди и морски отпадъци и повишаване на стойността на отпадъците от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на кръгова икономика и къси вериги за доставка на продукти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-разработване и/или прилагане на нови технически решения и иновации по отношение на производствените съоръжения и оборудване (напр.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щормоустйчиви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потопяеми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садки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риба в българската акватория на Черно море или РСА за морски видове на сушата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устойчиви производства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влияние върху околната среда като въвеждане на производства, намаляващи емисиите в околната среда, вкл. и на СО2, опазване на качеството на водата, отглеждане на биологични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нискотрофични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Повишаване на енергийната ефективност на предприятията, , подпомагане опазването на околната среда и допринасяща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тяхната дейност като изграждане на ВЕИ пряко свързани с производството, подобряване на енергийната ефективност на сградите и използване на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цифрови технологии за намаляване на енергийното потребление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въвеждане на нови (местни/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аборигенни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чужди) видове, вкл. нови методи на производство (напр. интегрирани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мултитрофични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системи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разнообразяване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цел намаляване на риболовния натиск върху тях (напр. калкан и други черноморски видове, вкл. пилотни проекти с цел намаляване на риболовния натиск върху тях)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допълнителни дейности към основното производство (например ресторантьорство, търговски дейности, образователни дейности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качество, в т.ч. защитено географско наименование за произход и др., осигуряващи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проследяемост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продуктите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информираността на потребителите за тях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Добавяне на стойност, вкл. чрез извършване на първична обработка (чистене, сортиране, охлаждане и опаковане) на произведената продукция за подобряване на търговския вид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здравния статус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(въвеждане на собствен контрол върху здравето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използване на медикаменти и химикали с по-кратък период на разграждане и намаляване на тяхното вредно въздействие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 до пазара чрез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-пазарно ориентирани изследвания, разработване на стратегии и кампании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собствено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и използване на специализирана складова техника и специализирани транспортни средства, отговарящи на капацитета и нуждите на бенефициента, свързани с подобряване на производството, преработката и продажбата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традиционните продукти чрез въвеждане на нови продукти с добавена стойност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филетирани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опаковани и готови за употреба)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процесите на преработката с цел намаляване на вредното влияние върху околната среда и намаляване на себестойността на разходите (намаляване на замърсяването на водата, намаляване на потреблението на енергия и преминаване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оползотворяването на страничните продукти от преработка (в контекста на кръговата икономика) - намаляване или избягване на изхвърлянето на отпадъци, намаляване на хранителните отпадъци, многофункционални платформи, демонстратори или прототипи)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 и произход, използване на устойчива опаковка от екологично чист, многократно използваем,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рециклируем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материал,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проследяемост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продуктите от преработка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Дейности, свързани с осигуряване на здравословни и безопасни условия на труд в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-Оборудване за подобряване на безопасността и осигуряване на здравословни условията на труд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условията на труд за повишаване на атрактивността за млади и висококвалифицирани кадри чрез облекчаване на различни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времеемки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тежки физически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-Осигуряване на достъп до специфични здравни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-медицински и лечебен туризъм с акцент върху възможностите за персонализация (немасов, а персонален туризъм)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еко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или пилотиране на иновативни дейности и услуги, свързани с устойчива 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 в сферата на производство или продажба на продукти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-Въвеждане на иновативни методи и технологии в рибовъдството без използване на химически препарати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които включват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като източник или цел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биотехнологичните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приложения), изискващи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събрани от водна или морската среда с пряко приложение в устойчивото ползване на морски ресурси, здравословен начин на живот, здравеопазване, фармацевтика, хранене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Биопроспекция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- изследване и експериментиране на продукти, получени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включително растения, микроорганизми, животни и т.н., които могат да бъдат доразвити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комерсиализация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-ИКТ с приложение в тематичната област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външно териториално сътрудничество с участие на местния бизнес, научни организации и публични институции в сферата на интелигента специализация и за подготовка за участие в международни програми и проекти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Хоризонтално и вертикално сътрудничество между участниците във веригата на доставки, производство, преработка и продажби за изграждането и развитието на къси вериги на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дейностите и доходите извън рибарството, подпомагане разширяване на бизнес с нови дейности и продукти или разширяване на капацитет с цел отваряне на нови работни места;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Инвестиции в осигуряване на безопасни и здравословни условия на труд, подобряване на професионалния и здравния статус на рибарите и условията им на труд, осигуряване на безопасност и превенция в рибарството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екологични иновации и инвестиции в риболова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въздействие върху околната среда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намаляване на въглеродния отпечатък на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адаптиране към последиците от изменението на климата чрез капитализиране на екологичните активи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цифрови технологии за постигане на прозрачен, ефективен и лесен за прилагане контрол и мониторинг на риболовните дейности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Строително-монтажни работи (включително за разходи за независим строителен надзор,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 Закупуване на нови машини и оборудване (включително компютърно, водолазно и др.), съоръжения и други, свързани с  предвидената инвестиция, в това число и разходи, включени в продажната цена за осъществяване на доставката, инсталиране, изпитване и въвеждане в експлоатация на оборудването (машините), 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 Закупуване на софтуер, включително разходите за доставка, инсталация, тестване и въвеждане в експлоатация. Изграждане на системи за дигитализация, управление и съхраняване на информация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4. Специализирана складова техника и специализирани транспортни средства, обслужващи производството, съхранението и търговията.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хладилни камери, цели производствени линии и други видове техника за охлаждане и/или съхранение;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 Разходи за инвестиции на борда на кораба. Разходи за събиране и третиране на отпадъци. Разходи за селективни риболовни уреди, за избягване на нежелан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намаляване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уреди и системи за отблъскване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китоподобни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видове. Разходи за подмяна на елементи от риболовните уреди с такива, подобряващи енергийната ефективност на риболова. Разходи водещи до постигане на устойчивост и опазване на околната среда в дейностите на сектора. Разходи за животоспасяващо, противопожарно, сигнално и др. оборудване на екипажа и риболовния кораб, друго разрешено специално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6. Инвестиции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стопанства с цел подобряване на конкурентоспособността, устойчивостта и ефективното използване на ресурси, добавяне на стойност, повишаване на енергийната ефективност, подобряване на качеството и контрола на водата и др. Плавателни съдове, обслужващи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които са пряко свързани с него.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7. Инвестиции във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видеонаблюдение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системи за сигурност и контрол,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 (ВЕИ), оборудване, свързано с опазването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 Въвеждане на задължителни системи за проследяване, отчитане, дистанционно наблюдение и измерване. Въвеждане на системи за контрол на качеството, безопасни условия на труд и опазване на околната среда и водите и достигане на съответствие с международно признати стандарти;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9. Обучения на персонала, свързани с основната дейност;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 Придобиване на подходящи професионални умения свързани с дейност по диверсификация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 Съоръжения за ремонт или сервизни плавателни съдове обслужващи дейността/производството;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12. Ремонтни дейности на борда на риболовните кораби. Разходи за сух док по време на ремонта. Обновяване/ремонт/подмяна на корпуса/скелета на кораба, палуби, надстройки, каюти, всякакви вътрешни и външни елементи и системи от кораба и др., вкл. оборудване за закотвяне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интериорно обзавеждане, технологично оборудване, осветителна и ел.система, навигационни и комуникационни системи, както и системи свързани с безопасност, сигурност, здраве, подобряване условията на труд и намаляване въздействието върху околната среда и др.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Бластиране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пребоядисване на корпуса и др. (чрез подмяна и/или дублаж), Обновяване/ремонт на силовата установка (основен и спомагателен двигател и енергийна централа), вкл. подмяна на елементи и механизми за управление и др. Смяна на протектори за статично електричество по корпуса на кораба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Vessel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Antistatic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Solutions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 Разходи за екологични, образователни, научни дейности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 Закупуване на оборудване, малки плавателни съдове (вкл. автономни) за образователни и/или научни дейности и услуги, професионални обучения и/или туристически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15. Разходи свързани с диверсификация на дейности, производства и услуги в други отрасли на икономиката (извън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”), включително за създаване на нови или разширяване на съществуващи такива. Закупуване на нови машини и оборудване (включително компютърно), съоръжения и други, свързани с диверсификацията (вкл. за заведения за хранене (вкл.мобилни), консервиране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 Разходи за маркетинг и предлагане на пазара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 Разходи за организация, управление и отчитане на проекта (до 4 на сто от общите основни допустими разходи по проекта).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18.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Закупуване на специализирани транспортни средства, отговарящи на капацитета и нуждите на предприятието, свързани с подобряване на производството, преработката и продажбата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19. Разходи за инвестиции във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 (ВЕИ) за получаване на топлинна и/или електроенергия, необходими и пряко свързани с производствената дейност на кандидата,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20. Разходи за инвестиции в пречиствателни съоръжения за отпадни води и оборудване, свързано с опазването на околната среда,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21. 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патентни права и лицензи, необходими за изготвяне и/или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22. Разходи за консултантски услуги, свързани с подготовката и изпълнението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23.Предварителни проучвания, оценки, анализи и изготвяне на технически и/или технологичен проект и др. Технологичният проект следва да е изготвен от специалист с образование, съответстващо на спецификата на технологията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50 %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 w:rsidRPr="002E5CFE">
              <w:rPr>
                <w:rFonts w:ascii="Arial" w:eastAsia="Times New Roman" w:hAnsi="Arial" w:cs="Arial"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дни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 д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а на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ва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 на п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ро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199 406,89</w:t>
            </w:r>
          </w:p>
        </w:tc>
      </w:tr>
      <w:tr w:rsidR="002E5CFE" w:rsidRPr="002E5CFE" w:rsidTr="002E5CFE">
        <w:trPr>
          <w:trHeight w:val="213"/>
          <w:jc w:val="center"/>
        </w:trPr>
        <w:tc>
          <w:tcPr>
            <w:tcW w:w="16067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Приоритет 2. „Подпомагане на развитието на устойчива синя икономика ”</w:t>
            </w:r>
          </w:p>
        </w:tc>
      </w:tr>
      <w:tr w:rsidR="002E5CFE" w:rsidRPr="002E5CFE" w:rsidTr="002E5CFE">
        <w:trPr>
          <w:trHeight w:val="101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2.1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Дейност №2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  <w:t>460 169,75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Общини Балчик, Каварна, Шабла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осигуряване на технически съоръжения и/или оборудване (насочени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риболов) на или близо до рибарски пристанища,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традиционно обособени места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рибарски плавателни съдове: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безопасно влизане и излизане в морето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защита на акватории от вълнения, течения и наноси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подпомагане на създаването, подобряването и оборудването за безопасно акостиране и разтоварване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 хигиенични и безопасни условия на труд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водоснабдяване, канализация, електроснабдяване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геозащитната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дейност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осигуряваща пускането на вода на плавателните съдове, както и тяхното изваждане на сушата за изваждане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съхранение или за извършване на ремонтни дейности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места за ремонт и зареждане на лодките с гориво, електрозахранване и водоснабдяване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плаващи понтони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лодките на вода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за съхранение на лодките извън водата и инвентара за риболов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и създаване на условия за продажба и директна продажба от рибари на или в близост до пристанищата - рибен пазар за директна продажба на пристанището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създаване на условия за продажба и директна продажба от рибари на или в близост до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съвместно управление на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енергийната ефективност, подпомагане опазването на околната среда и подпомагане събирането на отпадъци в морската акватория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електрически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зарядни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соларни панели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събиране, разтоварване, обработка и управление на отпадъци, плаващите в морето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условия за първоначално преработване и отложена продажба в рамките на пристанищата – хладилни помещения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обособяване на отворени пространство за културни дейности на открито в рамките на пристанищата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достъпна среда в урбанизираната територия и на сградите и съоръженията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и обновяване на туристически обекти и развитие на туристически услуги и атракции с акцент върху риболовен туризъм, приключенски туризъм,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рекреационен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публична инфраструктура за обществено ползване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със синя икономика в рибарската територия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публична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Строителство, реконструкция и/или рехабилитация на нови и съществуващи инфраструктурни обекти за устойчив крайбрежен туризъм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достъпа, съхранението на инвентар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безопасността и условията на труд,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медицински и лечебен туризъм с акцент върху възможностите за персонализация (немасов, а персонален туризъм) и др.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строително-монтажни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разширяване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дострояване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обновяване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преустройство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реконструкция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всички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видове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ремонт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довършителни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зависимост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предназначението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независим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ВИК,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механични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отопление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  <w:proofErr w:type="gramEnd"/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2.Закупуване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компютърно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обзавеждане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предвидената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продажната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осъществяване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изпитване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операторите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сектора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4.Въвеждане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качеството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безопасни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труд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достигане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съответствие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признати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стандарти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управление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5.Разходи,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а)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б)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пречиствателни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персонал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7.Изграждане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лодкостоянка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8.Дейности,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насочени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поддържане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морското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образователни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9.Разходи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защита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брега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пристанищната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10.Разходи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курсове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професионална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възнаграждения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помещения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практически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занимания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cr/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бизнес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интегрирани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туристически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внедряване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иновации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търговия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12.Разходи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състезания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пленери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</w:t>
            </w:r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преводачески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патентни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лицензи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софтуер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14.Закупуване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транспортни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15.Разходи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предложение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предварителни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инженерни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оценки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технологичен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размер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повече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5%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допустимите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публичност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разпространение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сайтове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използване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социални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мрежи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after="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17.Разходи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Ред № 8 Операции, за които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бенефициерът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е публичен орган или предприятие, натоварено с функцията да оказва услуги от общ икономически интерес, както е посочено в член 106, параграф 2 от ДФЕС , когато подкрепата се предоставя за оказване на такива услуги - 90 %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25 564,99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153 389,92</w:t>
            </w:r>
          </w:p>
        </w:tc>
      </w:tr>
      <w:tr w:rsidR="002E5CFE" w:rsidRPr="002E5CFE" w:rsidTr="002E5CFE">
        <w:trPr>
          <w:trHeight w:val="421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5CFE" w:rsidRPr="002E5CFE" w:rsidTr="002E5CFE">
        <w:trPr>
          <w:gridAfter w:val="1"/>
          <w:wAfter w:w="101" w:type="dxa"/>
          <w:trHeight w:val="4901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. „Услуги за развитие на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№3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77 640,86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Юридически лица, регистрирани по ЗЮЛНЦ и Закона за народните читалища/ЗНЧ/;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и обновяване на туристически обекти и развитие на туристически услуги и атракции с акцент върху риболовен туризъм, приключенски туризъм,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рекреационен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инфраструктура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достъпа, съхранението на инвентар и др.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 морето, морските дейности и водните спортове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услуги, свързани с морето, морските дейности и водните спортни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 свързани с морето, морските дейности и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обзавеждане на обекти за устойчив крайбрежен туризъм.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публични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достъпа, съхранение на инвентар и др. свързани с морето, морските дейности и водните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Опазване и възстановяването на биологичното разнообразие и екосистемите като събиране на отпадъци, изгубени риболовни уреди, морски отпадъци, услуги за биологично разнообразие, вкл. с участието на рибари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морската среда и крайбрежието в рибарските територии и смекчаване на негативното влияние върху климата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Развитие на местните екологични знания и повишаване на осведомеността по проблемите на околната среда сред рибарската общност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 (строителство, разширяване/ дострояване, обновяване, преустройство, реконструкция, всички видове ремонт, довършителни работи и други специфични, в зависимост от предназначението на обекта), разходи за ВИК, електротехнически и механични работи, отопление и др.;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 (вкл. компютърно), съоръжения, обзавеждане и други, пряко свързани с предвидената инвестиция, включително разходи, включени в продажната цена за осъществяване на доставката, инсталиране, изпитване и въвеждането в експлоатация на оборудването/ машините/съоръженията;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обучения на персонал за експлоатация на обекти и работа с техника;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5.Разходи за обучения и курсове  за професионалната квалификация и/или преквалификация включително (възнаграждения, командировъчни, наем на учебни помещения и оборудване, учебни материали,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практически занимания и др.)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разработване на проучвания, маркетингови и бизнес планове, разработване на интегрирани туристически маршрути, стратегии за внедряване на иновации, въвеждане на електронна търговия, информационни системи и технологии, маркетингови продукти;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анализи, проучвания, изработване на инвестиционни профили, събития (услуги, хонорари, материали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10.Закупуване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патентни права и лицензи, софтуер, включително разходите за доставка, инсталация, тестване и въвеждане в експлоатация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12.Разходи за подготовка на проектното предложение и предварителни разходи (инженерни проучвания, оценки, анализи и изготвяне на технически и/или технологичен проект и други услуги), разходи за строителен и авторски надзор - в общ размер на не повече от 5% от общо допустимите разходи.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17.Разходи за анализи, проучвания, изработване на инвестиционни профили, събития;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Ред № 13 Операции, подкрепяни съгласно член 30 и отговарящи на най-малко един от следните критерии -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51 129,97</w:t>
            </w:r>
          </w:p>
        </w:tc>
      </w:tr>
      <w:tr w:rsidR="002E5CFE" w:rsidRPr="002E5CFE" w:rsidTr="002E5CFE">
        <w:trPr>
          <w:trHeight w:hRule="exact" w:val="466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27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Приоритет 3 „Опазване и възстановяване на морските екосистеми и тяхното биологичното разнообразие чрез сътрудничество и интелигентна специализация ”</w:t>
            </w:r>
          </w:p>
        </w:tc>
      </w:tr>
      <w:tr w:rsidR="002E5CFE" w:rsidRPr="002E5CFE" w:rsidTr="002E5CFE">
        <w:trPr>
          <w:gridAfter w:val="1"/>
          <w:wAfter w:w="101" w:type="dxa"/>
          <w:trHeight w:val="13686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3.1.„Сътрудничество и интелигентна специализация за възстановяване и опазване на морските екосистеми и тяхното биологично разнообразие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Укрепване на местната общност чрез изграждане на устойчиви мрежи за партньорство, обмен на опит и знания, и развитие на интегрирана стратегии в областта на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територията.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168 728,91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МИРГ Шабла – Каварна – Балчик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Организиране на работа в мрежа;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капацитет, обучения, семинари и въвеждане на иновации;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осведомеността по проблемите на околната среда сред широката общественост, предоставяне на нови възможности за райони, зависими от риболова;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Сътрудничество и обмяна на опит с други МИРГ, МИГ, както и подобен тип структури, прилагащи подходи за териториално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платформи за сътрудничество между различни заинтересовани страни, представяне на местни продукти и културни ресурси.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Инициативи за съвместно управление на защитени територии.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Финансиране на съвместни проекти с други МИГ/МИРГ от България и ЕС.в интерес на рибарските общности, туризма и опазване на екологията.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Подкрепа за изграждане и/или обновяване на центрове за различни дейности свързани с рибарството, туризма, културата и екологичното образование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на фестивали и събития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Управление, възстановяване, наблюдение и мониторинг на защитените зони по „Натура 2000“,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Защита на видовете по силата на Директива 92/43/ЕИО и Директива 2009/147/ЕО,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Събиране, управление и използване на данни за подобряване на знанията за състоянието на морската среда с цел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постигане или поддържане на добро екологично състояние на морската среда в съответствие с член 1, параграф 1 от Директива 2008/56/ЕО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изпълнение на изискванията за  мониторинг, определяне  и управление на защитени зони съгласно директиви 92/43/ЕИО и 2009/147/ЕО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морското пространствено планиране, посочено в Директива 2014/89/ЕС на Европейския парламент и на Съвета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Изследвания на екологичното състояние и рибните и нерибни биологични ресурси и изготвяне на препоръки за тяхното опазване, възстановяване и устойчиво използване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Мониторинг и оценки на екологичното състояние на водите и състоянието на морската околна среда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Проучвания, събиране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проби или данни, мониторинг, оценки на риска и др., които са извън обхвата на националните програми за събиране на данни за да послужат на разширяване на съществуващи бази данни и създаване на нови такива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оборудване на лаборатории за първичен контрол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извън териториално сътрудничество с участие на местния бизнес, научни организации и публични институции в сферата на интелигента специализация и подготовка за участие в проекти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училищни дейности в сферата на интелигентната специализация и STEM и специализации за решаване на екологични проблеми (управление на отпадъците, енергийната ефективност) в рибарската територия с помощта на STEM направления и специализации (3D очила с виртуална реалност, 3D принтери и др.) в училища като „Зелени технологии и устойчиво развитие“, „Природни науки“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Опазване и възстановяване на морското биологично разнообразие и екосистеми за постигане на добро екологично състояние на морските води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 на въздействието на рибарството върху морските екосистеми и върху уязвими и чувствителни видове;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мониторинга на въздействието на други човешки дейности и тяхното въздействие върху рибните запаси и др..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Образователни дейности насочена към по-добра защита на природата и постигане на обрат в тенденцията към деградация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Кампании за почистване, допринасящи за добро екологично състояние, включително възстановяването на природата, опазването, защитата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Превенция и контрол на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Издаване на научно популярна и научна периодика и литература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Изработване и съхранение на база данни с литературни източници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и участия във фестивали и изложения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Пилотиране на дейности за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синергия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между научноизследователска и развойна дейност и иновации, рибарския сектор и образователни институции в рибарската територия в приоритетната за Област Добрич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и по конкретно в рамките на някои от следните подобласти: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пряко приложение за здравословен начин на живот; 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методи в рибовъдството, без използване на химически препарати;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Приложение на нови методи и технологии в устойчивото ползване на морски ресурси;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Индустриални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ИКТ с приложение в тематичната област;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разбирането за и консултиране на МИРГ и заинтересованите страни относно опазване и възстановяване на морското и крайбрежното биоразнообразие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услуги, проучвания, техническо/технологични разработки насочени към развитие на занаятчийството, създаване на туристически продукти и атракции, стартиране или развитие на бизнес дейности и предприемачество, развлекателни и спортни дейности (услуги, хонорари, командировки, материали,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организиране на посещения и участие на срещи с партньори в България и чужбина (пътни, услуги, командировки и пр.);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8.Разходи за анализи, проучвания, изработване на инвестиционни профили, събития;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9.Организиране на събития свързани със сътрудничество и партньорства;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15 338,99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102 259,94</w:t>
            </w:r>
          </w:p>
        </w:tc>
      </w:tr>
      <w:tr w:rsidR="002E5CFE" w:rsidRPr="002E5CFE" w:rsidTr="002E5CFE">
        <w:trPr>
          <w:gridAfter w:val="1"/>
          <w:wAfter w:w="101" w:type="dxa"/>
          <w:trHeight w:val="150"/>
          <w:jc w:val="center"/>
        </w:trPr>
        <w:tc>
          <w:tcPr>
            <w:tcW w:w="159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 xml:space="preserve">     Приоритет 4 „Развитие на обща териториална идентичност и общ териториален имидж на рибарска територия „Крайморска Добруджа“”</w:t>
            </w:r>
          </w:p>
        </w:tc>
      </w:tr>
      <w:tr w:rsidR="002E5CFE" w:rsidRPr="002E5CFE" w:rsidTr="002E5CFE">
        <w:trPr>
          <w:gridAfter w:val="1"/>
          <w:wAfter w:w="101" w:type="dxa"/>
          <w:trHeight w:val="138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4.1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идентичността на рибарска територия „Крайморска Добруджа““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Очакван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подхода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ВОМР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съгласно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№5 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осигури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Стратегическа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№1: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Подобряване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диверсификация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ПРИОРИТЕТ № 4: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имидж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№4.1.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№4.2.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валоризиране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отглеждането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крайбрежен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туризъм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235 197,87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Юридически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регистрирани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ЗЮЛНЦ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Закона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народните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читалища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/ЗНЧ/;</w:t>
            </w:r>
          </w:p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Балчик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Каварна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Шабла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връзка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документиране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издания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филми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фотографски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пътеводители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географски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етнографски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сбирки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носии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вещи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пособия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Създаване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подкрепа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клубове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работилници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групи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интереси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различни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поколения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изучаване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кулинария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демонстрационни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точки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указателни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табели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областта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творчески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Строително-монтажни работи (включително разходи за независим строителен и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Закупуване и инсталиране на нови машини и оборудване (вкл. компютърно, за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видеонаблюдение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или други системи за сигурност), съоръжения и други, пряко свързани с предвидената инвестиция, включително разходи, включени в продажната цена за осъществяване на доставка, инсталиране, изпитване и въвеждане в експлоатация на оборудването/машините/съоръженията и обучение за експлоатацията им. Изграждане на системи за дигитализация, управление и съхраняване на информация;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3. Разходи за проучвания и изследвания, както и разработване на стратегии, планове, програми, стратегически/аналитични и други документи;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4. Разходи, свързани с организирането на обучения, семинари, съвместни събития, срещи и т.н.;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5. Разходи за обучения и повишаване на професионалната квалификация;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6. Разходи, свързани с реализирането на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промоционални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и маркетингови кампании;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7. Разходи, свързани със срещи с потенциални партньори и мрежи (напр. пътни разходи,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за нощувки и храна, хонорари за експерти, хонорари на преводачи, разходи за комуникация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8. Разходи за представяне във всякаква форма на културно-историческото, природното, морското наследство и „Син растеж“ на територията на рибарската област;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9. Разходи насочени към запазване, поддържане и подобряване на околната среда, културно-историческото, природното и морското наследство, вкл.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10. Разходи, свързани с популяризиране, съхраняване, реставрация и социализация на културното, историческото и морското наследство;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11. Разходи за екологични, образователни и културни инициативи 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12. Разходи за наука и/или изследвания относно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“ и/или опазване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13. Разходи за информация и комуникация;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14. 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, патентни права и лицензи,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15. Разходи за консултантски услуги, свързани с подготовката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16. 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17. 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18. 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19. Разходи за организиране на срещи на територията на МИРГ (настаняване, изхранване на гостите, услуги);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10 255,99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51 129,97</w:t>
            </w:r>
          </w:p>
        </w:tc>
      </w:tr>
    </w:tbl>
    <w:p w:rsidR="002E5CFE" w:rsidRPr="002E5CFE" w:rsidRDefault="002E5CFE" w:rsidP="002E5CFE">
      <w:pPr>
        <w:spacing w:before="120" w:after="120" w:line="240" w:lineRule="auto"/>
        <w:ind w:left="388" w:right="455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9"/>
          <w:sz w:val="14"/>
          <w:szCs w:val="14"/>
        </w:rPr>
        <w:t xml:space="preserve">1 </w:t>
      </w:r>
      <w:r w:rsidRPr="002E5CFE">
        <w:rPr>
          <w:rFonts w:ascii="Arial" w:eastAsia="Times New Roman" w:hAnsi="Arial" w:cs="Arial"/>
          <w:sz w:val="14"/>
          <w:szCs w:val="14"/>
        </w:rPr>
        <w:t xml:space="preserve"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отфинансирани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от Европейските фондове при споделено управление за програмен период 2021 – 2027 г..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noProof/>
          <w:sz w:val="14"/>
          <w:szCs w:val="14"/>
          <w:lang w:eastAsia="bg-B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8D7E08" wp14:editId="4E28B8E5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5.4pt;margin-top:-27.75pt;width:143.9pt;height:0;z-index:-25165721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">
                <v:shape id="Freeform 5" o:spid="_x0000_s1027" style="position:absolute;left:708;top:-555;width:2878;height:0;visibility:visible;mso-wrap-style:square;v-text-anchor:top" coordsize="2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6RsMA&#10;AADbAAAADwAAAGRycy9kb3ducmV2LnhtbESPQWvCQBSE70L/w/KE3nSjqG2jqxTB6kmoSqG3Z/aZ&#10;BLNvQ/ap6b/vCoLHYWa+YWaL1lXqSk0oPRsY9BNQxJm3JecGDvtV7x1UEGSLlWcy8EcBFvOXzgxT&#10;62/8Tded5CpCOKRooBCpU61DVpDD0Pc1cfROvnEoUTa5tg3eItxVepgkE+2w5LhQYE3LgrLz7uIM&#10;fK3lmP/6t7H+GITVz0gu23O7Nea1235OQQm18gw/2htrYDiB+5f4A/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b6RsMAAADbAAAADwAAAAAAAAAAAAAAAACYAgAAZHJzL2Rv&#10;d25yZXYueG1sUEsFBgAAAAAEAAQA9QAAAIgD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2E5CFE">
        <w:rPr>
          <w:rFonts w:ascii="Arial" w:eastAsia="Times New Roman" w:hAnsi="Arial" w:cs="Arial"/>
          <w:position w:val="8"/>
          <w:sz w:val="14"/>
          <w:szCs w:val="14"/>
        </w:rPr>
        <w:t xml:space="preserve">2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дна</w:t>
      </w:r>
      <w:r w:rsidRPr="002E5CFE">
        <w:rPr>
          <w:rFonts w:ascii="Arial" w:eastAsia="Times New Roman" w:hAnsi="Arial" w:cs="Arial"/>
          <w:spacing w:val="-10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щ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3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4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“,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бъде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точ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о“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5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жи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7"/>
          <w:sz w:val="14"/>
          <w:szCs w:val="14"/>
        </w:rPr>
        <w:t>6</w:t>
      </w:r>
      <w:r w:rsidRPr="002E5CFE">
        <w:rPr>
          <w:rFonts w:ascii="Arial" w:eastAsia="Times New Roman" w:hAnsi="Arial" w:cs="Arial"/>
          <w:spacing w:val="15"/>
          <w:position w:val="7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 xml:space="preserve">По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см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6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ч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10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ог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ов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7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ци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вро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й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ия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ъю</w:t>
      </w:r>
      <w:r w:rsidRPr="002E5CFE">
        <w:rPr>
          <w:rFonts w:ascii="Arial" w:eastAsia="Times New Roman" w:hAnsi="Arial" w:cs="Arial"/>
          <w:spacing w:val="3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tabs>
          <w:tab w:val="left" w:pos="1134"/>
        </w:tabs>
        <w:spacing w:before="120" w:after="120" w:line="240" w:lineRule="auto"/>
        <w:ind w:left="406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19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z w:val="14"/>
          <w:szCs w:val="14"/>
        </w:rPr>
        <w:t xml:space="preserve"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de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minimis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в сектора на рибарството 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аквакултурите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(ОВ, L 190 от 28.06.2014 г.).</w:t>
      </w:r>
    </w:p>
    <w:p w:rsidR="002E5CFE" w:rsidRDefault="002E5CFE">
      <w:bookmarkStart w:id="0" w:name="_GoBack"/>
      <w:bookmarkEnd w:id="0"/>
    </w:p>
    <w:sectPr w:rsidR="002E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FE"/>
    <w:rsid w:val="002E5CFE"/>
    <w:rsid w:val="004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7964</Words>
  <Characters>45396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</dc:creator>
  <cp:keywords/>
  <dc:description/>
  <cp:lastModifiedBy>flag</cp:lastModifiedBy>
  <cp:revision>1</cp:revision>
  <dcterms:created xsi:type="dcterms:W3CDTF">2026-02-23T18:19:00Z</dcterms:created>
  <dcterms:modified xsi:type="dcterms:W3CDTF">2026-02-23T18:22:00Z</dcterms:modified>
</cp:coreProperties>
</file>